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7460"/>
      </w:tblGrid>
      <w:tr w14:paraId="30345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623" w:type="pct"/>
            <w:vAlign w:val="center"/>
          </w:tcPr>
          <w:p w14:paraId="0BB4A920">
            <w:pPr>
              <w:rPr>
                <w:rFonts w:hint="eastAsia" w:ascii="楷体" w:hAnsi="楷体" w:eastAsia="楷体" w:cs="楷体"/>
                <w:b/>
                <w:sz w:val="28"/>
                <w:szCs w:val="28"/>
              </w:rPr>
            </w:pPr>
            <w:r>
              <w:rPr>
                <w:rFonts w:ascii="楷体" w:hAnsi="楷体" w:eastAsia="楷体" w:cs="楷体"/>
                <w:b/>
                <w:sz w:val="28"/>
                <w:szCs w:val="28"/>
              </w:rPr>
              <w:t>标题：</w:t>
            </w:r>
          </w:p>
        </w:tc>
        <w:tc>
          <w:tcPr>
            <w:tcW w:w="4376" w:type="pct"/>
            <w:vAlign w:val="center"/>
          </w:tcPr>
          <w:p w14:paraId="2CC8D8DD">
            <w:pPr>
              <w:jc w:val="center"/>
              <w:rPr>
                <w:rFonts w:hint="default" w:ascii="楷体" w:hAnsi="楷体" w:eastAsia="楷体" w:cs="楷体"/>
                <w:b/>
                <w:sz w:val="28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sz w:val="28"/>
                <w:szCs w:val="32"/>
                <w:lang w:val="en-US" w:eastAsia="zh-CN"/>
              </w:rPr>
              <w:t>737飞机2号和7号船型整流罩连接支架断裂</w:t>
            </w:r>
          </w:p>
        </w:tc>
      </w:tr>
      <w:tr w14:paraId="73050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000" w:type="pct"/>
            <w:gridSpan w:val="2"/>
            <w:shd w:val="clear" w:color="auto" w:fill="D6E3BC"/>
            <w:vAlign w:val="center"/>
          </w:tcPr>
          <w:p w14:paraId="641ACBB0">
            <w:pPr>
              <w:spacing w:line="360" w:lineRule="auto"/>
              <w:rPr>
                <w:rFonts w:hint="eastAsia" w:ascii="楷体" w:hAnsi="楷体" w:eastAsia="楷体" w:cs="楷体"/>
                <w:b/>
                <w:sz w:val="24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sz w:val="24"/>
              </w:rPr>
              <w:t>一．</w:t>
            </w:r>
            <w:r>
              <w:rPr>
                <w:rFonts w:hint="eastAsia" w:ascii="楷体" w:hAnsi="楷体" w:eastAsia="楷体" w:cs="楷体"/>
                <w:b/>
                <w:sz w:val="24"/>
                <w:lang w:val="en-US" w:eastAsia="zh-CN"/>
              </w:rPr>
              <w:t>概述</w:t>
            </w:r>
          </w:p>
        </w:tc>
      </w:tr>
      <w:tr w14:paraId="129B0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000" w:type="pct"/>
            <w:gridSpan w:val="2"/>
            <w:vAlign w:val="center"/>
          </w:tcPr>
          <w:p w14:paraId="221ECC94">
            <w:pPr>
              <w:spacing w:line="360" w:lineRule="auto"/>
              <w:ind w:firstLine="480" w:firstLineChars="200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737机队中偶发有2号和7号船型整流罩连接支架断裂的案例，对飞行操作通常没有影响，但落地后会出现整流罩下垂，无法收上的情况。</w:t>
            </w:r>
          </w:p>
          <w:p w14:paraId="6924A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运行影响：无。</w:t>
            </w:r>
          </w:p>
          <w:p w14:paraId="767D1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安全影响：航空器系统失效/故障或零部件缺失，导致中断起飞、采取避让措施、快速下降、改变进近方式、中止进近、复飞、返航、备降、占用跑道、需机场启动应急救援响应程序或需在最近合适机场着陆。</w:t>
            </w:r>
          </w:p>
          <w:p w14:paraId="1EFB18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安全定性：一般事件</w:t>
            </w:r>
          </w:p>
          <w:p w14:paraId="7AB7082A">
            <w:pPr>
              <w:spacing w:line="360" w:lineRule="auto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发生概率：中</w:t>
            </w:r>
          </w:p>
          <w:p w14:paraId="0747DA92">
            <w:pPr>
              <w:spacing w:line="360" w:lineRule="auto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故障部件：2号和7号船型整流罩连接支架（件号：113A9204-1/2）</w:t>
            </w:r>
          </w:p>
        </w:tc>
      </w:tr>
      <w:tr w14:paraId="3B5E7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000" w:type="pct"/>
            <w:gridSpan w:val="2"/>
            <w:shd w:val="clear" w:color="auto" w:fill="D6E3BC"/>
            <w:vAlign w:val="center"/>
          </w:tcPr>
          <w:p w14:paraId="47A96986">
            <w:pPr>
              <w:spacing w:line="360" w:lineRule="auto"/>
              <w:rPr>
                <w:rFonts w:hint="default" w:ascii="楷体" w:hAnsi="楷体" w:eastAsia="楷体" w:cs="楷体"/>
                <w:bCs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auto"/>
                <w:sz w:val="24"/>
                <w:highlight w:val="none"/>
                <w:lang w:val="en-US" w:eastAsia="zh-CN"/>
              </w:rPr>
              <w:t>二</w:t>
            </w:r>
            <w:r>
              <w:rPr>
                <w:rFonts w:ascii="楷体" w:hAnsi="楷体" w:eastAsia="楷体" w:cs="楷体"/>
                <w:b/>
                <w:color w:val="auto"/>
                <w:sz w:val="24"/>
                <w:highlight w:val="none"/>
              </w:rPr>
              <w:t>．</w:t>
            </w:r>
            <w:r>
              <w:rPr>
                <w:rFonts w:hint="eastAsia" w:ascii="楷体" w:hAnsi="楷体" w:eastAsia="楷体" w:cs="楷体"/>
                <w:b/>
                <w:color w:val="auto"/>
                <w:sz w:val="24"/>
                <w:highlight w:val="none"/>
                <w:lang w:val="en-US" w:eastAsia="zh-CN"/>
              </w:rPr>
              <w:t>可靠性数据</w:t>
            </w:r>
          </w:p>
        </w:tc>
      </w:tr>
      <w:tr w14:paraId="5A558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000" w:type="pct"/>
            <w:gridSpan w:val="2"/>
            <w:vAlign w:val="center"/>
          </w:tcPr>
          <w:p w14:paraId="7BB0BDA4">
            <w:pPr>
              <w:spacing w:line="360" w:lineRule="auto"/>
              <w:ind w:firstLine="480" w:firstLineChars="200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波音收到过超13起案例报告。2026年以来国内航司反映有两起案例。</w:t>
            </w:r>
          </w:p>
        </w:tc>
      </w:tr>
      <w:tr w14:paraId="7B2E0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5000" w:type="pct"/>
            <w:gridSpan w:val="2"/>
            <w:shd w:val="clear" w:color="auto" w:fill="D6E3BC"/>
            <w:vAlign w:val="center"/>
          </w:tcPr>
          <w:p w14:paraId="7FC672C6">
            <w:pPr>
              <w:rPr>
                <w:rFonts w:hint="eastAsia" w:ascii="楷体" w:hAnsi="楷体" w:eastAsia="楷体" w:cs="楷体"/>
                <w:sz w:val="22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三</w:t>
            </w:r>
            <w:r>
              <w:rPr>
                <w:rFonts w:ascii="楷体" w:hAnsi="楷体" w:eastAsia="楷体" w:cs="楷体"/>
                <w:b/>
                <w:bCs/>
                <w:sz w:val="24"/>
                <w:szCs w:val="32"/>
              </w:rPr>
              <w:t>．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工程</w:t>
            </w:r>
            <w:r>
              <w:rPr>
                <w:rFonts w:ascii="楷体" w:hAnsi="楷体" w:eastAsia="楷体" w:cs="楷体"/>
                <w:b/>
                <w:bCs/>
                <w:sz w:val="24"/>
                <w:szCs w:val="32"/>
              </w:rPr>
              <w:t>分析</w:t>
            </w:r>
          </w:p>
        </w:tc>
      </w:tr>
      <w:tr w14:paraId="3B4E4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5000" w:type="pct"/>
            <w:gridSpan w:val="2"/>
            <w:vAlign w:val="center"/>
          </w:tcPr>
          <w:p w14:paraId="4AB390D0">
            <w:pPr>
              <w:spacing w:line="360" w:lineRule="auto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1、基本原理</w:t>
            </w:r>
          </w:p>
          <w:p w14:paraId="4698D193">
            <w:pPr>
              <w:spacing w:line="360" w:lineRule="auto"/>
              <w:ind w:firstLine="480" w:firstLineChars="200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73N飞机船型整流罩的连接构型，较为简单，连接机构一端连襟翼滑轨，一端连船型整流罩，之间通过一根推杆起到随动的作用。</w:t>
            </w:r>
          </w:p>
          <w:p w14:paraId="05E9D41E">
            <w:pPr>
              <w:spacing w:line="360" w:lineRule="auto"/>
              <w:ind w:firstLine="480" w:firstLineChars="200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1722120" cy="2087880"/>
                  <wp:effectExtent l="0" t="0" r="0" b="0"/>
                  <wp:docPr id="1" name="图片 1" descr="wp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wps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  <w:drawing>
                <wp:inline distT="0" distB="0" distL="114300" distR="114300">
                  <wp:extent cx="2910840" cy="2095500"/>
                  <wp:effectExtent l="0" t="0" r="0" b="7620"/>
                  <wp:docPr id="2" name="图片 2" descr="wp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wps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6B7F5">
            <w:pPr>
              <w:spacing w:line="360" w:lineRule="auto"/>
              <w:ind w:firstLine="480" w:firstLineChars="200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连接机构的构型有两种，如下所示，一种是A型连接支架连接推杆的构型，仅在2号和7号船型整流罩采用（左图）。另一种为推杆直接和连接机构组件基体相连的构型，在其他6个船型整流罩的位置采用（右图）。</w:t>
            </w:r>
          </w:p>
          <w:p w14:paraId="5350A2D7">
            <w:pPr>
              <w:spacing w:line="360" w:lineRule="auto"/>
              <w:ind w:firstLine="420" w:firstLineChars="200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szCs w:val="21"/>
              </w:rPr>
              <w:object>
                <v:shape id="_x0000_i1025" o:spt="75" type="#_x0000_t75" style="height:175.75pt;width:206.95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8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 xml:space="preserve">   </w:t>
            </w:r>
            <w:r>
              <w:rPr>
                <w:szCs w:val="21"/>
              </w:rPr>
              <w:object>
                <v:shape id="_x0000_i1026" o:spt="75" type="#_x0000_t75" style="height:174.4pt;width:138.5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0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 xml:space="preserve">  </w:t>
            </w:r>
          </w:p>
          <w:p w14:paraId="1E7A61BC">
            <w:pPr>
              <w:numPr>
                <w:ilvl w:val="0"/>
                <w:numId w:val="1"/>
              </w:numPr>
              <w:wordWrap w:val="0"/>
              <w:spacing w:line="360" w:lineRule="auto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失效分析</w:t>
            </w:r>
          </w:p>
          <w:p w14:paraId="7490BE6A">
            <w:pPr>
              <w:pStyle w:val="10"/>
              <w:tabs>
                <w:tab w:val="left" w:pos="6996"/>
              </w:tabs>
              <w:spacing w:line="360" w:lineRule="auto"/>
              <w:ind w:left="13" w:leftChars="6" w:right="424" w:rightChars="202" w:firstLine="405" w:firstLineChars="169"/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如下图纸所示，连接机构为铸铝材料，</w:t>
            </w: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2号和7号船型整流罩</w:t>
            </w: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连接方式，为在基体薄边上打孔后，再安装A型角架。当推杆推动连接组件时，是通过海洛克铆钉传递推力到连接组件基体薄边，从推杆受力角度来看，后连接边为主要受力边，在气动力作用下，反复受力，形成疲劳损伤。</w:t>
            </w:r>
          </w:p>
          <w:p w14:paraId="406ECCA9">
            <w:pPr>
              <w:pStyle w:val="10"/>
              <w:spacing w:line="360" w:lineRule="auto"/>
              <w:ind w:left="393" w:leftChars="187" w:right="424" w:rightChars="202" w:firstLine="1" w:firstLineChars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drawing>
                <wp:inline distT="0" distB="0" distL="114300" distR="114300">
                  <wp:extent cx="2275205" cy="1758950"/>
                  <wp:effectExtent l="0" t="0" r="10795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Cs w:val="21"/>
              </w:rPr>
              <w:t xml:space="preserve">   </w:t>
            </w:r>
            <w:r>
              <w:rPr>
                <w:b/>
                <w:szCs w:val="21"/>
              </w:rPr>
              <w:drawing>
                <wp:inline distT="0" distB="0" distL="114300" distR="114300">
                  <wp:extent cx="2212340" cy="1767205"/>
                  <wp:effectExtent l="0" t="0" r="12700" b="635"/>
                  <wp:docPr id="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39BC4">
            <w:pPr>
              <w:pStyle w:val="10"/>
              <w:tabs>
                <w:tab w:val="left" w:pos="6996"/>
              </w:tabs>
              <w:spacing w:line="360" w:lineRule="auto"/>
              <w:ind w:left="13" w:leftChars="6" w:right="424" w:rightChars="202" w:firstLine="405" w:firstLineChars="169"/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典型的断裂失效，通常有以下特征</w:t>
            </w:r>
          </w:p>
          <w:p w14:paraId="3CE55FC1">
            <w:pPr>
              <w:pStyle w:val="10"/>
              <w:tabs>
                <w:tab w:val="left" w:pos="6996"/>
              </w:tabs>
              <w:spacing w:line="360" w:lineRule="auto"/>
              <w:ind w:left="13" w:leftChars="6" w:right="424" w:rightChars="202" w:firstLine="405" w:firstLineChars="169"/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1、断裂位置通常位于海洛克螺钉邻近基体部分或开口处。</w:t>
            </w:r>
          </w:p>
          <w:p w14:paraId="6470EDB8">
            <w:pPr>
              <w:pStyle w:val="10"/>
              <w:tabs>
                <w:tab w:val="left" w:pos="6996"/>
              </w:tabs>
              <w:spacing w:line="360" w:lineRule="auto"/>
              <w:ind w:left="13" w:leftChars="6" w:right="424" w:rightChars="202" w:firstLine="405" w:firstLineChars="169"/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2、部分断口会呈现出发黑的迹象，表明出现裂纹的时间已经较长，为长期疲劳所致，部分断口则干净较亮，表明是在最后阶段短时间内拉断。</w:t>
            </w:r>
          </w:p>
          <w:p w14:paraId="69F9FB0E">
            <w:pPr>
              <w:widowControl w:val="0"/>
              <w:numPr>
                <w:ilvl w:val="0"/>
                <w:numId w:val="0"/>
              </w:numPr>
              <w:wordWrap w:val="0"/>
              <w:spacing w:line="360" w:lineRule="auto"/>
              <w:jc w:val="both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/>
                <w:szCs w:val="21"/>
              </w:rPr>
              <w:t xml:space="preserve">     </w:t>
            </w:r>
            <w:r>
              <w:rPr>
                <w:szCs w:val="21"/>
              </w:rPr>
              <w:object>
                <v:shape id="_x0000_i1027" o:spt="75" type="#_x0000_t75" style="height:190.05pt;width:106pt;" o:ole="t" filled="f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4">
                  <o:LockedField>false</o:LockedField>
                </o:OLEObject>
              </w:object>
            </w:r>
            <w:r>
              <w:rPr>
                <w:szCs w:val="21"/>
              </w:rPr>
              <w:t xml:space="preserve">  </w:t>
            </w:r>
            <w:r>
              <w:rPr>
                <w:szCs w:val="21"/>
              </w:rPr>
              <w:object>
                <v:shape id="_x0000_i1028" o:spt="75" type="#_x0000_t75" style="height:190.3pt;width:259.95pt;" o:ole="t" filled="f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6">
                  <o:LockedField>false</o:LockedField>
                </o:OLEObject>
              </w:object>
            </w:r>
          </w:p>
          <w:p w14:paraId="79C0C1CE">
            <w:pPr>
              <w:widowControl w:val="0"/>
              <w:numPr>
                <w:ilvl w:val="0"/>
                <w:numId w:val="0"/>
              </w:numPr>
              <w:wordWrap w:val="0"/>
              <w:spacing w:line="360" w:lineRule="auto"/>
              <w:jc w:val="both"/>
              <w:rPr>
                <w:rFonts w:hint="eastAsia" w:ascii="楷体" w:hAnsi="楷体" w:eastAsia="宋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 xml:space="preserve">   3、从NDT的经验看，从裂纹开始到扩展有一个发展过程，且在清洁干净的情况下，早期裂纹目视可见。</w:t>
            </w:r>
          </w:p>
        </w:tc>
      </w:tr>
      <w:tr w14:paraId="5FD66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2"/>
            <w:shd w:val="clear" w:color="auto" w:fill="D6E3BC"/>
          </w:tcPr>
          <w:p w14:paraId="446B34D3">
            <w:pPr>
              <w:spacing w:line="360" w:lineRule="auto"/>
              <w:rPr>
                <w:rFonts w:hint="eastAsia" w:ascii="楷体" w:hAnsi="楷体" w:eastAsia="楷体" w:cs="楷体"/>
                <w:b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32"/>
                <w:lang w:val="en-US" w:eastAsia="zh-CN"/>
              </w:rPr>
              <w:t>四</w:t>
            </w:r>
            <w:r>
              <w:rPr>
                <w:rFonts w:ascii="楷体" w:hAnsi="楷体" w:eastAsia="楷体" w:cs="楷体"/>
                <w:b/>
                <w:bCs/>
                <w:sz w:val="24"/>
                <w:szCs w:val="32"/>
              </w:rPr>
              <w:t>．</w:t>
            </w:r>
            <w:r>
              <w:rPr>
                <w:rFonts w:ascii="楷体" w:hAnsi="楷体" w:eastAsia="楷体" w:cs="楷体"/>
                <w:b/>
                <w:sz w:val="24"/>
              </w:rPr>
              <w:t>厂家措施</w:t>
            </w:r>
          </w:p>
        </w:tc>
      </w:tr>
      <w:tr w14:paraId="76900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2"/>
          </w:tcPr>
          <w:p w14:paraId="0B72B934">
            <w:pPr>
              <w:pStyle w:val="10"/>
              <w:numPr>
                <w:ilvl w:val="0"/>
                <w:numId w:val="0"/>
              </w:numPr>
              <w:spacing w:line="360" w:lineRule="auto"/>
              <w:ind w:right="430" w:rightChars="205"/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1、厂家已有设计改进113A9204-3/-4来替代原有的113A9204-1/2连接组件。在适用性上两者是互换关系。此类改进在线号8261以后的飞机列装。</w:t>
            </w:r>
          </w:p>
          <w:p w14:paraId="6083348E">
            <w:pPr>
              <w:pStyle w:val="10"/>
              <w:numPr>
                <w:ilvl w:val="0"/>
                <w:numId w:val="0"/>
              </w:numPr>
              <w:spacing w:line="360" w:lineRule="auto"/>
              <w:ind w:right="430" w:rightChars="205"/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2、从图纸分析，新构型对连接点的加强肋做到端头，对抗疲劳能力是有所提升的。</w:t>
            </w:r>
          </w:p>
          <w:p w14:paraId="6DD44FF8">
            <w:pPr>
              <w:pStyle w:val="10"/>
              <w:spacing w:line="360" w:lineRule="auto"/>
              <w:ind w:left="480" w:firstLine="0" w:firstLineChars="0"/>
              <w:rPr>
                <w:sz w:val="24"/>
              </w:rPr>
            </w:pPr>
            <w:r>
              <w:fldChar w:fldCharType="begin"/>
            </w:r>
            <w:r>
              <w:instrText xml:space="preserve"> INCLUDEPICTURE  "cid:image003.jpg@01D66652.EB50A290"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2462530" cy="1628775"/>
                  <wp:effectExtent l="0" t="0" r="6350" b="1905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 "cid:image005.jpg@01D66652.EB50A290"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2288540" cy="1624330"/>
                  <wp:effectExtent l="0" t="0" r="12700" b="6350"/>
                  <wp:docPr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90C1AEB">
            <w:pPr>
              <w:wordWrap w:val="0"/>
              <w:spacing w:line="360" w:lineRule="auto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</w:p>
        </w:tc>
      </w:tr>
      <w:tr w14:paraId="3B1E1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2"/>
            <w:shd w:val="clear" w:color="auto" w:fill="D6E3BC"/>
          </w:tcPr>
          <w:p w14:paraId="4D6AE7D0">
            <w:pPr>
              <w:spacing w:line="360" w:lineRule="auto"/>
            </w:pPr>
            <w:r>
              <w:rPr>
                <w:rFonts w:hint="eastAsia" w:ascii="楷体" w:hAnsi="楷体" w:eastAsia="楷体" w:cs="楷体"/>
                <w:b/>
                <w:sz w:val="24"/>
                <w:lang w:val="en-US" w:eastAsia="zh-CN"/>
              </w:rPr>
              <w:t>五</w:t>
            </w:r>
            <w:r>
              <w:rPr>
                <w:rFonts w:ascii="楷体" w:hAnsi="楷体" w:eastAsia="楷体" w:cs="楷体"/>
                <w:b/>
                <w:sz w:val="24"/>
              </w:rPr>
              <w:t>．航司措施</w:t>
            </w:r>
          </w:p>
        </w:tc>
      </w:tr>
      <w:tr w14:paraId="7E962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2"/>
          </w:tcPr>
          <w:p w14:paraId="7DE129B3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1、73N-57-842-01内部-区域（整体目视检查）：左大翼</w:t>
            </w:r>
            <w:r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 xml:space="preserve">号襟翼支架整流罩- </w:t>
            </w:r>
          </w:p>
          <w:p w14:paraId="59A67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right="42" w:rightChars="20"/>
              <w:textAlignment w:val="auto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检查左大翼</w:t>
            </w:r>
            <w:r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号襟翼支架整流罩的内部区域。</w:t>
            </w:r>
          </w:p>
          <w:p w14:paraId="1684EFBF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 xml:space="preserve">2、73N-57-912-02内部-区域（整体目视检查）：右大翼7号襟翼支架整流罩- </w:t>
            </w:r>
          </w:p>
          <w:p w14:paraId="1EE291A5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检查左大翼7号襟翼支架整流罩的内部区域。</w:t>
            </w:r>
          </w:p>
          <w:p w14:paraId="194A65E0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0" w:leftChars="0" w:firstLine="0" w:firstLineChars="0"/>
              <w:jc w:val="left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2号和7号船型整流罩连接支架执行目视检查。</w:t>
            </w:r>
          </w:p>
          <w:p w14:paraId="07087005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360" w:lineRule="auto"/>
              <w:ind w:left="0" w:leftChars="0" w:firstLine="0" w:firstLineChars="0"/>
              <w:jc w:val="left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2号和7号船型整流罩连接支架执行NDT检查。</w:t>
            </w:r>
          </w:p>
        </w:tc>
      </w:tr>
      <w:tr w14:paraId="5B514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2"/>
            <w:shd w:val="clear" w:color="auto" w:fill="D6E3BC"/>
          </w:tcPr>
          <w:p w14:paraId="34A0D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textAlignment w:val="auto"/>
            </w:pPr>
            <w:r>
              <w:rPr>
                <w:rFonts w:hint="eastAsia" w:ascii="楷体" w:hAnsi="楷体" w:eastAsia="楷体" w:cs="楷体"/>
                <w:b/>
                <w:sz w:val="24"/>
                <w:lang w:val="en-US" w:eastAsia="zh-CN"/>
              </w:rPr>
              <w:t>六</w:t>
            </w:r>
            <w:r>
              <w:rPr>
                <w:rFonts w:ascii="楷体" w:hAnsi="楷体" w:eastAsia="楷体" w:cs="楷体"/>
                <w:b/>
                <w:sz w:val="24"/>
              </w:rPr>
              <w:t>．结论和建议</w:t>
            </w:r>
          </w:p>
        </w:tc>
      </w:tr>
      <w:tr w14:paraId="7644A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5000" w:type="pct"/>
            <w:gridSpan w:val="2"/>
          </w:tcPr>
          <w:p w14:paraId="0C60BD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firstLine="480"/>
              <w:jc w:val="left"/>
              <w:textAlignment w:val="auto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737机队中偶发有2号和7号船型整流罩连接支架断裂的案例，是由于设计原因导致的疲劳损伤。为减少此类事件的发生，建议如下：</w:t>
            </w:r>
          </w:p>
          <w:p w14:paraId="485B34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航司：</w:t>
            </w:r>
          </w:p>
          <w:p w14:paraId="2DBD8A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lang w:val="en-US" w:eastAsia="zh-CN"/>
              </w:rPr>
              <w:t>根据机队运行表现，对2号和7号船型整流罩连接支架，设定合适周期的针对性检查项目，对裂纹潜在区域进行彻底的清洁后执行10X放大镜详细目视检查。</w:t>
            </w:r>
            <w:bookmarkStart w:id="0" w:name="_GoBack"/>
            <w:bookmarkEnd w:id="0"/>
          </w:p>
          <w:p w14:paraId="2C2E36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楷体" w:hAnsi="楷体" w:eastAsia="楷体" w:cs="楷体"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建议优先采购和使用执行了加强设计的新构型</w:t>
            </w:r>
            <w:r>
              <w:rPr>
                <w:rFonts w:hint="eastAsia" w:ascii="楷体" w:hAnsi="楷体" w:eastAsia="楷体" w:cs="楷体"/>
                <w:bCs/>
                <w:kern w:val="2"/>
                <w:sz w:val="24"/>
                <w:lang w:val="en-US" w:eastAsia="zh-CN" w:bidi="ar-SA"/>
              </w:rPr>
              <w:t>连接组件</w:t>
            </w:r>
            <w:r>
              <w:rPr>
                <w:rFonts w:ascii="楷体" w:hAnsi="楷体" w:eastAsia="楷体"/>
                <w:sz w:val="24"/>
                <w:szCs w:val="24"/>
              </w:rPr>
              <w:t>。</w:t>
            </w:r>
          </w:p>
        </w:tc>
      </w:tr>
    </w:tbl>
    <w:p w14:paraId="0E789E36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693915E5-0E25-407B-BD8F-7CB9021E0A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D8398F">
    <w:r>
      <w:rPr>
        <w:rFonts w:ascii="楷体" w:hAnsi="楷体" w:eastAsia="楷体" w:cs="楷体"/>
        <w:sz w:val="24"/>
        <w:szCs w:val="40"/>
      </w:rPr>
      <w:t>202</w:t>
    </w:r>
    <w:r>
      <w:rPr>
        <w:rFonts w:hint="eastAsia" w:ascii="楷体" w:hAnsi="楷体" w:eastAsia="楷体" w:cs="楷体"/>
        <w:sz w:val="24"/>
        <w:szCs w:val="40"/>
        <w:lang w:val="en-US" w:eastAsia="zh-CN"/>
      </w:rPr>
      <w:t>6</w:t>
    </w:r>
    <w:r>
      <w:rPr>
        <w:rFonts w:ascii="楷体" w:hAnsi="楷体" w:eastAsia="楷体" w:cs="楷体"/>
        <w:sz w:val="24"/>
        <w:szCs w:val="40"/>
      </w:rPr>
      <w:t>年</w:t>
    </w:r>
    <w:r>
      <w:rPr>
        <w:rFonts w:hint="eastAsia" w:ascii="楷体" w:hAnsi="楷体" w:eastAsia="楷体" w:cs="楷体"/>
        <w:sz w:val="24"/>
        <w:szCs w:val="40"/>
        <w:lang w:val="en-US" w:eastAsia="zh-CN"/>
      </w:rPr>
      <w:t>05</w:t>
    </w:r>
    <w:r>
      <w:rPr>
        <w:rFonts w:ascii="楷体" w:hAnsi="楷体" w:eastAsia="楷体" w:cs="楷体"/>
        <w:sz w:val="24"/>
        <w:szCs w:val="40"/>
      </w:rPr>
      <w:t>月</w:t>
    </w:r>
    <w:r>
      <w:rPr>
        <w:rFonts w:hint="eastAsia" w:ascii="楷体" w:hAnsi="楷体" w:eastAsia="楷体" w:cs="楷体"/>
        <w:sz w:val="24"/>
        <w:szCs w:val="40"/>
        <w:lang w:val="en-US" w:eastAsia="zh-CN"/>
      </w:rPr>
      <w:t>17</w:t>
    </w:r>
    <w:r>
      <w:rPr>
        <w:rFonts w:ascii="楷体" w:hAnsi="楷体" w:eastAsia="楷体" w:cs="楷体"/>
        <w:sz w:val="24"/>
        <w:szCs w:val="40"/>
      </w:rPr>
      <w:t>日</w:t>
    </w:r>
    <w:r>
      <w:rPr>
        <w:rFonts w:hint="eastAsia" w:ascii="楷体" w:hAnsi="楷体" w:eastAsia="楷体" w:cs="楷体"/>
        <w:sz w:val="24"/>
        <w:szCs w:val="40"/>
      </w:rPr>
      <w:t xml:space="preserve"> </w:t>
    </w:r>
    <w:r>
      <w:rPr>
        <w:rFonts w:hint="eastAsia" w:ascii="楷体" w:hAnsi="楷体" w:eastAsia="楷体" w:cs="楷体"/>
        <w:sz w:val="24"/>
        <w:szCs w:val="40"/>
        <w:lang w:val="en-US" w:eastAsia="zh-CN"/>
      </w:rPr>
      <w:t xml:space="preserve"> </w:t>
    </w:r>
    <w:r>
      <w:rPr>
        <w:rFonts w:hint="eastAsia" w:ascii="楷体" w:hAnsi="楷体" w:eastAsia="楷体" w:cs="楷体"/>
        <w:sz w:val="24"/>
        <w:szCs w:val="40"/>
      </w:rPr>
      <w:t>编写：B7</w:t>
    </w:r>
    <w:r>
      <w:rPr>
        <w:rFonts w:hint="eastAsia" w:ascii="楷体" w:hAnsi="楷体" w:eastAsia="楷体" w:cs="楷体"/>
        <w:sz w:val="24"/>
        <w:szCs w:val="40"/>
        <w:lang w:val="en-US" w:eastAsia="zh-CN"/>
      </w:rPr>
      <w:t>3</w:t>
    </w:r>
    <w:r>
      <w:rPr>
        <w:rFonts w:hint="eastAsia" w:ascii="楷体" w:hAnsi="楷体" w:eastAsia="楷体" w:cs="楷体"/>
        <w:sz w:val="24"/>
        <w:szCs w:val="40"/>
      </w:rPr>
      <w:t xml:space="preserve">7MTC </w:t>
    </w:r>
    <w:r>
      <w:rPr>
        <w:rFonts w:hint="eastAsia" w:ascii="楷体" w:hAnsi="楷体" w:eastAsia="楷体" w:cs="楷体"/>
        <w:sz w:val="24"/>
        <w:szCs w:val="40"/>
        <w:lang w:val="en-US" w:eastAsia="zh-CN"/>
      </w:rPr>
      <w:t>海航技术曾晶</w:t>
    </w:r>
    <w:r>
      <w:rPr>
        <w:rFonts w:ascii="楷体" w:hAnsi="楷体" w:eastAsia="楷体" w:cs="楷体"/>
        <w:sz w:val="24"/>
        <w:szCs w:val="40"/>
      </w:rPr>
      <w:t xml:space="preserve"> </w:t>
    </w:r>
    <w:r>
      <w:rPr>
        <w:rFonts w:hint="eastAsia" w:ascii="楷体" w:hAnsi="楷体" w:eastAsia="楷体" w:cs="楷体"/>
        <w:sz w:val="24"/>
        <w:szCs w:val="40"/>
        <w:lang w:val="en-US" w:eastAsia="zh-CN"/>
      </w:rPr>
      <w:t xml:space="preserve"> </w:t>
    </w:r>
    <w:r>
      <w:rPr>
        <w:rFonts w:hint="eastAsia" w:ascii="楷体" w:hAnsi="楷体" w:eastAsia="楷体" w:cs="楷体"/>
        <w:sz w:val="24"/>
        <w:szCs w:val="40"/>
      </w:rPr>
      <w:t>审核：民航维修技术委员</w:t>
    </w:r>
  </w:p>
  <w:p w14:paraId="4083D757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AF034">
    <w:pPr>
      <w:pStyle w:val="5"/>
    </w:pPr>
  </w:p>
  <w:p w14:paraId="035074BF">
    <w:pPr>
      <w:pStyle w:val="5"/>
    </w:pPr>
  </w:p>
  <w:p w14:paraId="189A675E">
    <w:pPr>
      <w:pStyle w:val="5"/>
      <w:rPr>
        <w:rFonts w:hint="default" w:ascii="楷体" w:hAnsi="楷体" w:eastAsia="楷体" w:cs="楷体"/>
        <w:b/>
        <w:bCs/>
        <w:lang w:val="en-US" w:eastAsia="zh-CN"/>
      </w:rPr>
    </w:pPr>
    <w:r>
      <w:rPr>
        <w:rFonts w:hint="eastAsia" w:ascii="楷体" w:hAnsi="楷体" w:eastAsia="楷体" w:cs="楷体"/>
        <w:b/>
        <w:bCs/>
        <w:lang w:val="en-US" w:eastAsia="zh-CN"/>
      </w:rPr>
      <w:t>维修技术委员会（MTC）                                        维修技术信息 MTM-737-27-202609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1F90A9"/>
    <w:multiLevelType w:val="singleLevel"/>
    <w:tmpl w:val="D71F90A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AC2ED4"/>
    <w:multiLevelType w:val="singleLevel"/>
    <w:tmpl w:val="F7AC2ED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373726"/>
    <w:rsid w:val="003E354B"/>
    <w:rsid w:val="009F1215"/>
    <w:rsid w:val="031F252E"/>
    <w:rsid w:val="06385A43"/>
    <w:rsid w:val="0A8235E3"/>
    <w:rsid w:val="0D1644B7"/>
    <w:rsid w:val="0DB13287"/>
    <w:rsid w:val="0EDD1F61"/>
    <w:rsid w:val="0F627009"/>
    <w:rsid w:val="115A0E16"/>
    <w:rsid w:val="11786706"/>
    <w:rsid w:val="13AC5677"/>
    <w:rsid w:val="176A79A2"/>
    <w:rsid w:val="179C7D5D"/>
    <w:rsid w:val="17B27B00"/>
    <w:rsid w:val="17F11DA8"/>
    <w:rsid w:val="19D860E9"/>
    <w:rsid w:val="1B001094"/>
    <w:rsid w:val="1B566EF5"/>
    <w:rsid w:val="1E522E75"/>
    <w:rsid w:val="1E8F1119"/>
    <w:rsid w:val="1F3A2614"/>
    <w:rsid w:val="226F65B7"/>
    <w:rsid w:val="25893D27"/>
    <w:rsid w:val="25BC1C48"/>
    <w:rsid w:val="29C726BC"/>
    <w:rsid w:val="2AD10A98"/>
    <w:rsid w:val="2C4B53EF"/>
    <w:rsid w:val="2E857D96"/>
    <w:rsid w:val="306A6086"/>
    <w:rsid w:val="309F6533"/>
    <w:rsid w:val="30E62804"/>
    <w:rsid w:val="31041497"/>
    <w:rsid w:val="31375E30"/>
    <w:rsid w:val="31513FFF"/>
    <w:rsid w:val="31FD56FE"/>
    <w:rsid w:val="323F167B"/>
    <w:rsid w:val="328D7133"/>
    <w:rsid w:val="388C54AA"/>
    <w:rsid w:val="389F672E"/>
    <w:rsid w:val="39B12CEE"/>
    <w:rsid w:val="39F5707E"/>
    <w:rsid w:val="3C3F2833"/>
    <w:rsid w:val="3C8E7D22"/>
    <w:rsid w:val="3E1A17B9"/>
    <w:rsid w:val="3FD26AFD"/>
    <w:rsid w:val="40B449CB"/>
    <w:rsid w:val="40CE60A4"/>
    <w:rsid w:val="41373726"/>
    <w:rsid w:val="414C54F5"/>
    <w:rsid w:val="42444EA2"/>
    <w:rsid w:val="43305BFF"/>
    <w:rsid w:val="451F3201"/>
    <w:rsid w:val="45F7507F"/>
    <w:rsid w:val="4866322B"/>
    <w:rsid w:val="4BEA27BB"/>
    <w:rsid w:val="4E201C1D"/>
    <w:rsid w:val="4E5C081F"/>
    <w:rsid w:val="502B7FB8"/>
    <w:rsid w:val="50650093"/>
    <w:rsid w:val="52B07656"/>
    <w:rsid w:val="5AE66844"/>
    <w:rsid w:val="5B1D7E14"/>
    <w:rsid w:val="624E53D8"/>
    <w:rsid w:val="62593D9F"/>
    <w:rsid w:val="6328018E"/>
    <w:rsid w:val="6779018F"/>
    <w:rsid w:val="69E61B28"/>
    <w:rsid w:val="6BAE0A2F"/>
    <w:rsid w:val="6F2023CB"/>
    <w:rsid w:val="715C1F07"/>
    <w:rsid w:val="727B5586"/>
    <w:rsid w:val="73381618"/>
    <w:rsid w:val="73E172B7"/>
    <w:rsid w:val="7A3031E0"/>
    <w:rsid w:val="7A922E92"/>
    <w:rsid w:val="7F054C3B"/>
    <w:rsid w:val="7F63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qFormat/>
    <w:uiPriority w:val="2"/>
    <w:rPr>
      <w:rFonts w:hint="default"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Paragraph"/>
    <w:basedOn w:val="1"/>
    <w:qFormat/>
    <w:uiPriority w:val="1"/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1.bin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cid:image005.jpg@01D66652.EB50A290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cid:image003.jpg@01D66652.EB50A290" TargetMode="External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oleObject" Target="embeddings/oleObject4.bin"/><Relationship Id="rId15" Type="http://schemas.openxmlformats.org/officeDocument/2006/relationships/image" Target="media/image7.png"/><Relationship Id="rId14" Type="http://schemas.openxmlformats.org/officeDocument/2006/relationships/oleObject" Target="embeddings/oleObject3.bin"/><Relationship Id="rId13" Type="http://schemas.openxmlformats.org/officeDocument/2006/relationships/image" Target="media/image6.emf"/><Relationship Id="rId12" Type="http://schemas.openxmlformats.org/officeDocument/2006/relationships/image" Target="media/image5.emf"/><Relationship Id="rId11" Type="http://schemas.openxmlformats.org/officeDocument/2006/relationships/image" Target="media/image4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1074</Words>
  <Characters>1153</Characters>
  <Lines>0</Lines>
  <Paragraphs>0</Paragraphs>
  <TotalTime>23</TotalTime>
  <ScaleCrop>false</ScaleCrop>
  <LinksUpToDate>false</LinksUpToDate>
  <CharactersWithSpaces>1175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2026-03-24T03:30:00Z</dcterms:created>
  <dc:creator>海客谈</dc:creator>
  <cp:lastModifiedBy>海客谈</cp:lastModifiedBy>
  <dcterms:modified xsi:type="dcterms:W3CDTF">2026-05-18T03:12:20Z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5F640D0D213B451D8FF710F6AAE52731_13</vt:lpwstr>
  </property>
  <property fmtid="{D5CDD505-2E9C-101B-9397-08002B2CF9AE}" pid="4" name="KSOTemplateDocerSaveRecord">
    <vt:lpwstr>eyJoZGlkIjoiNjJkMTFkNDc3MGMwMzhlYTEyZGYzNDUzNzk1NGNlMTUiLCJ1c2VySWQiOiIzNDQwMTQ0NjAifQ==</vt:lpwstr>
  </property>
</Properties>
</file>