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7460"/>
      </w:tblGrid>
      <w:tr w14:paraId="3034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623" w:type="pct"/>
            <w:vAlign w:val="center"/>
          </w:tcPr>
          <w:p w14:paraId="0BB4A920">
            <w:pPr>
              <w:rPr>
                <w:rFonts w:hint="eastAsia" w:ascii="楷体" w:hAnsi="楷体" w:eastAsia="楷体" w:cs="楷体"/>
                <w:b/>
                <w:sz w:val="28"/>
                <w:szCs w:val="28"/>
              </w:rPr>
            </w:pPr>
            <w:r>
              <w:rPr>
                <w:rFonts w:ascii="楷体" w:hAnsi="楷体" w:eastAsia="楷体" w:cs="楷体"/>
                <w:b/>
                <w:sz w:val="28"/>
                <w:szCs w:val="28"/>
              </w:rPr>
              <w:t>标题：</w:t>
            </w:r>
          </w:p>
        </w:tc>
        <w:tc>
          <w:tcPr>
            <w:tcW w:w="4376" w:type="pct"/>
            <w:vAlign w:val="center"/>
          </w:tcPr>
          <w:p w14:paraId="2CC8D8DD">
            <w:pPr>
              <w:jc w:val="center"/>
              <w:rPr>
                <w:rFonts w:hint="default" w:ascii="楷体" w:hAnsi="楷体" w:eastAsia="楷体" w:cs="楷体"/>
                <w:b/>
                <w:sz w:val="28"/>
                <w:szCs w:val="32"/>
                <w:lang w:val="en-US" w:eastAsia="zh-CN"/>
              </w:rPr>
            </w:pPr>
            <w:r>
              <w:rPr>
                <w:rFonts w:hint="eastAsia" w:ascii="楷体" w:hAnsi="楷体" w:eastAsia="楷体" w:cs="楷体"/>
                <w:b/>
                <w:sz w:val="28"/>
                <w:szCs w:val="32"/>
                <w:lang w:val="en-US" w:eastAsia="zh-CN"/>
              </w:rPr>
              <w:t>737前设备舱集水盘损伤</w:t>
            </w:r>
          </w:p>
        </w:tc>
      </w:tr>
      <w:tr w14:paraId="73050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5000" w:type="pct"/>
            <w:gridSpan w:val="2"/>
            <w:shd w:val="clear" w:color="auto" w:fill="D6E3BC"/>
            <w:vAlign w:val="center"/>
          </w:tcPr>
          <w:p w14:paraId="641ACBB0">
            <w:pPr>
              <w:spacing w:line="360" w:lineRule="auto"/>
              <w:rPr>
                <w:rFonts w:hint="eastAsia" w:ascii="楷体" w:hAnsi="楷体" w:eastAsia="楷体" w:cs="楷体"/>
                <w:b/>
                <w:sz w:val="24"/>
                <w:lang w:val="en-US" w:eastAsia="zh-CN"/>
              </w:rPr>
            </w:pPr>
            <w:r>
              <w:rPr>
                <w:rFonts w:ascii="楷体" w:hAnsi="楷体" w:eastAsia="楷体" w:cs="楷体"/>
                <w:b/>
                <w:sz w:val="24"/>
              </w:rPr>
              <w:t>一．</w:t>
            </w:r>
            <w:r>
              <w:rPr>
                <w:rFonts w:hint="eastAsia" w:ascii="楷体" w:hAnsi="楷体" w:eastAsia="楷体" w:cs="楷体"/>
                <w:b/>
                <w:sz w:val="24"/>
                <w:lang w:val="en-US" w:eastAsia="zh-CN"/>
              </w:rPr>
              <w:t>概述</w:t>
            </w:r>
          </w:p>
        </w:tc>
      </w:tr>
      <w:tr w14:paraId="129B0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5000" w:type="pct"/>
            <w:gridSpan w:val="2"/>
            <w:vAlign w:val="center"/>
          </w:tcPr>
          <w:p w14:paraId="7B97C10E">
            <w:pPr>
              <w:spacing w:line="360" w:lineRule="auto"/>
              <w:ind w:firstLine="480" w:firstLineChars="200"/>
              <w:rPr>
                <w:rFonts w:hint="default" w:ascii="楷体" w:hAnsi="楷体" w:eastAsia="楷体" w:cs="楷体"/>
                <w:bCs/>
                <w:sz w:val="24"/>
                <w:lang w:val="en-US" w:eastAsia="zh-CN"/>
              </w:rPr>
            </w:pPr>
            <w:r>
              <w:rPr>
                <w:rFonts w:hint="eastAsia" w:ascii="楷体" w:hAnsi="楷体" w:eastAsia="楷体" w:cs="楷体"/>
                <w:bCs/>
                <w:sz w:val="24"/>
                <w:lang w:val="en-US" w:eastAsia="zh-CN"/>
              </w:rPr>
              <w:t>近期国内航司发生1起机组反映前轮刚接地时出现一声清脆异响，最终排故检查发现前设备舱气象雷达集水盘在安装螺栓处有破裂损伤，完成更换后，测试正常。</w:t>
            </w:r>
          </w:p>
          <w:p w14:paraId="6924AEAD">
            <w:pPr>
              <w:keepNext w:val="0"/>
              <w:keepLines w:val="0"/>
              <w:pageBreakBefore w:val="0"/>
              <w:kinsoku/>
              <w:wordWrap/>
              <w:overflowPunct/>
              <w:topLinePunct w:val="0"/>
              <w:autoSpaceDE/>
              <w:autoSpaceDN/>
              <w:bidi w:val="0"/>
              <w:adjustRightInd/>
              <w:snapToGrid/>
              <w:spacing w:line="360" w:lineRule="auto"/>
              <w:textAlignment w:val="auto"/>
              <w:rPr>
                <w:rFonts w:hint="default" w:ascii="楷体" w:hAnsi="楷体" w:eastAsia="楷体" w:cs="楷体"/>
                <w:bCs/>
                <w:sz w:val="24"/>
                <w:lang w:val="en-US" w:eastAsia="zh-CN"/>
              </w:rPr>
            </w:pPr>
            <w:r>
              <w:rPr>
                <w:rFonts w:hint="eastAsia" w:ascii="楷体" w:hAnsi="楷体" w:eastAsia="楷体" w:cs="楷体"/>
                <w:bCs/>
                <w:sz w:val="24"/>
                <w:lang w:val="en-US" w:eastAsia="zh-CN"/>
              </w:rPr>
              <w:t>运行影响：N/A</w:t>
            </w:r>
          </w:p>
          <w:p w14:paraId="767D1668">
            <w:pPr>
              <w:keepNext w:val="0"/>
              <w:keepLines w:val="0"/>
              <w:pageBreakBefore w:val="0"/>
              <w:kinsoku/>
              <w:wordWrap/>
              <w:overflowPunct/>
              <w:topLinePunct w:val="0"/>
              <w:autoSpaceDE/>
              <w:autoSpaceDN/>
              <w:bidi w:val="0"/>
              <w:adjustRightInd/>
              <w:snapToGrid/>
              <w:spacing w:line="360" w:lineRule="auto"/>
              <w:textAlignment w:val="auto"/>
              <w:rPr>
                <w:rFonts w:hint="default" w:ascii="楷体" w:hAnsi="楷体" w:eastAsia="楷体" w:cs="楷体"/>
                <w:bCs/>
                <w:sz w:val="24"/>
                <w:lang w:val="en-US" w:eastAsia="zh-CN"/>
              </w:rPr>
            </w:pPr>
            <w:r>
              <w:rPr>
                <w:rFonts w:hint="eastAsia" w:ascii="楷体" w:hAnsi="楷体" w:eastAsia="楷体" w:cs="楷体"/>
                <w:bCs/>
                <w:sz w:val="24"/>
                <w:lang w:val="en-US" w:eastAsia="zh-CN"/>
              </w:rPr>
              <w:t>安全影响：N/A</w:t>
            </w:r>
          </w:p>
          <w:p w14:paraId="1EFB1847">
            <w:pPr>
              <w:keepNext w:val="0"/>
              <w:keepLines w:val="0"/>
              <w:pageBreakBefore w:val="0"/>
              <w:kinsoku/>
              <w:wordWrap/>
              <w:overflowPunct/>
              <w:topLinePunct w:val="0"/>
              <w:autoSpaceDE/>
              <w:autoSpaceDN/>
              <w:bidi w:val="0"/>
              <w:adjustRightInd/>
              <w:snapToGrid/>
              <w:spacing w:line="360" w:lineRule="auto"/>
              <w:textAlignment w:val="auto"/>
              <w:rPr>
                <w:rFonts w:hint="default" w:ascii="楷体" w:hAnsi="楷体" w:eastAsia="楷体" w:cs="楷体"/>
                <w:bCs/>
                <w:sz w:val="24"/>
                <w:lang w:val="en-US" w:eastAsia="zh-CN"/>
              </w:rPr>
            </w:pPr>
            <w:r>
              <w:rPr>
                <w:rFonts w:hint="eastAsia" w:ascii="楷体" w:hAnsi="楷体" w:eastAsia="楷体" w:cs="楷体"/>
                <w:bCs/>
                <w:sz w:val="24"/>
                <w:lang w:val="en-US" w:eastAsia="zh-CN"/>
              </w:rPr>
              <w:t>安全定性：一般事件</w:t>
            </w:r>
          </w:p>
          <w:p w14:paraId="7FBF1765">
            <w:pPr>
              <w:spacing w:line="360" w:lineRule="auto"/>
              <w:rPr>
                <w:rFonts w:hint="default" w:ascii="楷体" w:hAnsi="楷体" w:eastAsia="楷体" w:cs="楷体"/>
                <w:bCs/>
                <w:sz w:val="24"/>
                <w:lang w:val="en-US" w:eastAsia="zh-CN"/>
              </w:rPr>
            </w:pPr>
            <w:r>
              <w:rPr>
                <w:rFonts w:hint="eastAsia" w:ascii="楷体" w:hAnsi="楷体" w:eastAsia="楷体" w:cs="楷体"/>
                <w:bCs/>
                <w:sz w:val="24"/>
                <w:lang w:val="en-US" w:eastAsia="zh-CN"/>
              </w:rPr>
              <w:t>发生概率：中</w:t>
            </w:r>
          </w:p>
          <w:p w14:paraId="22B908C4">
            <w:pPr>
              <w:spacing w:line="360" w:lineRule="auto"/>
              <w:rPr>
                <w:rFonts w:hint="default" w:ascii="楷体" w:hAnsi="楷体" w:eastAsia="楷体" w:cs="楷体"/>
                <w:bCs/>
                <w:sz w:val="24"/>
                <w:lang w:val="en-US" w:eastAsia="zh-CN"/>
              </w:rPr>
            </w:pPr>
            <w:r>
              <w:rPr>
                <w:rFonts w:hint="eastAsia" w:ascii="楷体" w:hAnsi="楷体" w:eastAsia="楷体" w:cs="楷体"/>
                <w:bCs/>
                <w:sz w:val="24"/>
                <w:lang w:val="en-US" w:eastAsia="zh-CN"/>
              </w:rPr>
              <w:t>故障部件：接水盘（65C33038-4/5/7）</w:t>
            </w:r>
          </w:p>
        </w:tc>
      </w:tr>
      <w:tr w14:paraId="3B5E7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5000" w:type="pct"/>
            <w:gridSpan w:val="2"/>
            <w:shd w:val="clear" w:color="auto" w:fill="D6E3BC"/>
            <w:vAlign w:val="center"/>
          </w:tcPr>
          <w:p w14:paraId="47A96986">
            <w:pPr>
              <w:spacing w:line="360" w:lineRule="auto"/>
              <w:rPr>
                <w:rFonts w:hint="default" w:ascii="楷体" w:hAnsi="楷体" w:eastAsia="楷体" w:cs="楷体"/>
                <w:bCs/>
                <w:color w:val="auto"/>
                <w:sz w:val="24"/>
                <w:highlight w:val="none"/>
                <w:lang w:val="en-US" w:eastAsia="zh-CN"/>
              </w:rPr>
            </w:pPr>
            <w:r>
              <w:rPr>
                <w:rFonts w:hint="eastAsia" w:ascii="楷体" w:hAnsi="楷体" w:eastAsia="楷体" w:cs="楷体"/>
                <w:b/>
                <w:color w:val="auto"/>
                <w:sz w:val="24"/>
                <w:highlight w:val="none"/>
                <w:lang w:val="en-US" w:eastAsia="zh-CN"/>
              </w:rPr>
              <w:t>二</w:t>
            </w:r>
            <w:r>
              <w:rPr>
                <w:rFonts w:ascii="楷体" w:hAnsi="楷体" w:eastAsia="楷体" w:cs="楷体"/>
                <w:b/>
                <w:color w:val="auto"/>
                <w:sz w:val="24"/>
                <w:highlight w:val="none"/>
              </w:rPr>
              <w:t>．</w:t>
            </w:r>
            <w:r>
              <w:rPr>
                <w:rFonts w:hint="eastAsia" w:ascii="楷体" w:hAnsi="楷体" w:eastAsia="楷体" w:cs="楷体"/>
                <w:b/>
                <w:color w:val="auto"/>
                <w:sz w:val="24"/>
                <w:highlight w:val="none"/>
                <w:lang w:val="en-US" w:eastAsia="zh-CN"/>
              </w:rPr>
              <w:t>可靠性数据</w:t>
            </w:r>
          </w:p>
        </w:tc>
      </w:tr>
      <w:tr w14:paraId="5A558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5000" w:type="pct"/>
            <w:gridSpan w:val="2"/>
            <w:vAlign w:val="center"/>
          </w:tcPr>
          <w:p w14:paraId="7BB0BDA4">
            <w:pPr>
              <w:spacing w:line="360" w:lineRule="auto"/>
              <w:ind w:firstLine="480" w:firstLineChars="200"/>
              <w:rPr>
                <w:rFonts w:hint="default" w:ascii="楷体" w:hAnsi="楷体" w:eastAsia="楷体" w:cs="楷体"/>
                <w:bCs/>
                <w:sz w:val="24"/>
                <w:lang w:val="en-US" w:eastAsia="zh-CN"/>
              </w:rPr>
            </w:pPr>
            <w:r>
              <w:rPr>
                <w:rFonts w:hint="eastAsia" w:ascii="楷体" w:hAnsi="楷体" w:eastAsia="楷体" w:cs="楷体"/>
                <w:bCs/>
                <w:sz w:val="24"/>
                <w:lang w:val="en-US" w:eastAsia="zh-CN"/>
              </w:rPr>
              <w:t>2025年未有类似SDR事件报告。</w:t>
            </w:r>
            <w:bookmarkStart w:id="0" w:name="_GoBack"/>
            <w:bookmarkEnd w:id="0"/>
          </w:p>
        </w:tc>
      </w:tr>
      <w:tr w14:paraId="7B2E0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000" w:type="pct"/>
            <w:gridSpan w:val="2"/>
            <w:shd w:val="clear" w:color="auto" w:fill="D6E3BC"/>
            <w:vAlign w:val="center"/>
          </w:tcPr>
          <w:p w14:paraId="7FC672C6">
            <w:pPr>
              <w:rPr>
                <w:rFonts w:hint="eastAsia" w:ascii="楷体" w:hAnsi="楷体" w:eastAsia="楷体" w:cs="楷体"/>
                <w:sz w:val="22"/>
                <w:szCs w:val="28"/>
              </w:rPr>
            </w:pPr>
            <w:r>
              <w:rPr>
                <w:rFonts w:hint="eastAsia" w:ascii="楷体" w:hAnsi="楷体" w:eastAsia="楷体" w:cs="楷体"/>
                <w:b/>
                <w:bCs/>
                <w:sz w:val="24"/>
                <w:szCs w:val="32"/>
                <w:lang w:val="en-US" w:eastAsia="zh-CN"/>
              </w:rPr>
              <w:t>三</w:t>
            </w:r>
            <w:r>
              <w:rPr>
                <w:rFonts w:ascii="楷体" w:hAnsi="楷体" w:eastAsia="楷体" w:cs="楷体"/>
                <w:b/>
                <w:bCs/>
                <w:sz w:val="24"/>
                <w:szCs w:val="32"/>
              </w:rPr>
              <w:t>．</w:t>
            </w:r>
            <w:r>
              <w:rPr>
                <w:rFonts w:hint="eastAsia" w:ascii="楷体" w:hAnsi="楷体" w:eastAsia="楷体" w:cs="楷体"/>
                <w:b/>
                <w:bCs/>
                <w:sz w:val="24"/>
                <w:szCs w:val="32"/>
                <w:lang w:val="en-US" w:eastAsia="zh-CN"/>
              </w:rPr>
              <w:t>工程</w:t>
            </w:r>
            <w:r>
              <w:rPr>
                <w:rFonts w:ascii="楷体" w:hAnsi="楷体" w:eastAsia="楷体" w:cs="楷体"/>
                <w:b/>
                <w:bCs/>
                <w:sz w:val="24"/>
                <w:szCs w:val="32"/>
              </w:rPr>
              <w:t>分析</w:t>
            </w:r>
          </w:p>
        </w:tc>
      </w:tr>
      <w:tr w14:paraId="3B4E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5000" w:type="pct"/>
            <w:gridSpan w:val="2"/>
            <w:vAlign w:val="center"/>
          </w:tcPr>
          <w:p w14:paraId="4AB390D0">
            <w:pPr>
              <w:spacing w:line="360" w:lineRule="auto"/>
              <w:rPr>
                <w:rFonts w:hint="eastAsia" w:ascii="楷体" w:hAnsi="楷体" w:eastAsia="楷体" w:cs="楷体"/>
                <w:bCs/>
                <w:sz w:val="24"/>
                <w:lang w:val="en-US" w:eastAsia="zh-CN"/>
              </w:rPr>
            </w:pPr>
            <w:r>
              <w:rPr>
                <w:rFonts w:hint="eastAsia" w:ascii="楷体" w:hAnsi="楷体" w:eastAsia="楷体" w:cs="楷体"/>
                <w:bCs/>
                <w:sz w:val="24"/>
                <w:lang w:val="en-US" w:eastAsia="zh-CN"/>
              </w:rPr>
              <w:t>1、基本原理</w:t>
            </w:r>
          </w:p>
          <w:p w14:paraId="1E7A61BC">
            <w:pPr>
              <w:spacing w:line="360" w:lineRule="auto"/>
              <w:ind w:firstLine="480" w:firstLineChars="200"/>
              <w:rPr>
                <w:rFonts w:hint="eastAsia" w:ascii="楷体" w:hAnsi="楷体" w:eastAsia="楷体" w:cs="楷体"/>
                <w:bCs/>
                <w:sz w:val="24"/>
                <w:lang w:val="en-US" w:eastAsia="zh-CN"/>
              </w:rPr>
            </w:pPr>
            <w:r>
              <w:rPr>
                <w:rFonts w:hint="eastAsia" w:ascii="楷体" w:hAnsi="楷体" w:eastAsia="楷体" w:cs="楷体"/>
                <w:bCs/>
                <w:sz w:val="24"/>
                <w:lang w:val="en-US" w:eastAsia="zh-CN"/>
              </w:rPr>
              <w:t>前设备舱集水盘安装在气象雷达收发机的上方，通过三个安装点进行固定，用于保护收发机，避免受到来自驾驶舱、厨房、厕所等渗漏液体，以及水平安定面前钢索鼓轮上的湿气以及污染物的影响，导致收发机失效。</w:t>
            </w:r>
          </w:p>
          <w:p w14:paraId="11DE4050">
            <w:pPr>
              <w:spacing w:line="360" w:lineRule="auto"/>
              <w:jc w:val="center"/>
              <w:rPr>
                <w:rFonts w:hint="default" w:ascii="楷体" w:hAnsi="楷体" w:eastAsia="楷体" w:cs="楷体"/>
                <w:bCs/>
                <w:sz w:val="24"/>
                <w:lang w:val="en-US" w:eastAsia="zh-CN"/>
              </w:rPr>
            </w:pPr>
            <w:r>
              <w:rPr>
                <w:rFonts w:hint="default" w:ascii="楷体" w:hAnsi="楷体" w:eastAsia="楷体" w:cs="楷体"/>
                <w:bCs/>
                <w:sz w:val="24"/>
                <w:lang w:val="en-US" w:eastAsia="zh-CN"/>
              </w:rPr>
              <w:drawing>
                <wp:inline distT="0" distB="0" distL="114300" distR="114300">
                  <wp:extent cx="1532255" cy="1493520"/>
                  <wp:effectExtent l="0" t="0" r="10795" b="11430"/>
                  <wp:docPr id="6" name="图片 6" descr="ffc8c5d8-1d53-47c6-91e5-ab6ff5186c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fc8c5d8-1d53-47c6-91e5-ab6ff5186ccb"/>
                          <pic:cNvPicPr>
                            <a:picLocks noChangeAspect="1"/>
                          </pic:cNvPicPr>
                        </pic:nvPicPr>
                        <pic:blipFill>
                          <a:blip r:embed="rId6"/>
                          <a:stretch>
                            <a:fillRect/>
                          </a:stretch>
                        </pic:blipFill>
                        <pic:spPr>
                          <a:xfrm>
                            <a:off x="0" y="0"/>
                            <a:ext cx="1532255" cy="1493520"/>
                          </a:xfrm>
                          <a:prstGeom prst="rect">
                            <a:avLst/>
                          </a:prstGeom>
                        </pic:spPr>
                      </pic:pic>
                    </a:graphicData>
                  </a:graphic>
                </wp:inline>
              </w:drawing>
            </w:r>
            <w:r>
              <w:rPr>
                <w:rFonts w:hint="default" w:ascii="楷体" w:hAnsi="楷体" w:eastAsia="楷体" w:cs="楷体"/>
                <w:bCs/>
                <w:sz w:val="24"/>
                <w:lang w:val="en-US" w:eastAsia="zh-CN"/>
              </w:rPr>
              <w:drawing>
                <wp:inline distT="0" distB="0" distL="114300" distR="114300">
                  <wp:extent cx="1767205" cy="1409065"/>
                  <wp:effectExtent l="0" t="0" r="4445" b="635"/>
                  <wp:docPr id="7" name="图片 7" descr="03bc1ed7-4039-4c97-8fff-b22d77e0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3bc1ed7-4039-4c97-8fff-b22d77e0e043"/>
                          <pic:cNvPicPr>
                            <a:picLocks noChangeAspect="1"/>
                          </pic:cNvPicPr>
                        </pic:nvPicPr>
                        <pic:blipFill>
                          <a:blip r:embed="rId7"/>
                          <a:stretch>
                            <a:fillRect/>
                          </a:stretch>
                        </pic:blipFill>
                        <pic:spPr>
                          <a:xfrm>
                            <a:off x="0" y="0"/>
                            <a:ext cx="1767205" cy="1409065"/>
                          </a:xfrm>
                          <a:prstGeom prst="rect">
                            <a:avLst/>
                          </a:prstGeom>
                        </pic:spPr>
                      </pic:pic>
                    </a:graphicData>
                  </a:graphic>
                </wp:inline>
              </w:drawing>
            </w:r>
            <w:r>
              <w:rPr>
                <w:rFonts w:hint="default" w:ascii="楷体" w:hAnsi="楷体" w:eastAsia="楷体" w:cs="楷体"/>
                <w:bCs/>
                <w:sz w:val="24"/>
                <w:lang w:val="en-US" w:eastAsia="zh-CN"/>
              </w:rPr>
              <w:drawing>
                <wp:inline distT="0" distB="0" distL="114300" distR="114300">
                  <wp:extent cx="1871980" cy="1398270"/>
                  <wp:effectExtent l="0" t="0" r="13970" b="11430"/>
                  <wp:docPr id="13" name="图片 13" descr="667f9e28-b925-420f-84da-72a1d0c4d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67f9e28-b925-420f-84da-72a1d0c4d879"/>
                          <pic:cNvPicPr>
                            <a:picLocks noChangeAspect="1"/>
                          </pic:cNvPicPr>
                        </pic:nvPicPr>
                        <pic:blipFill>
                          <a:blip r:embed="rId8"/>
                          <a:stretch>
                            <a:fillRect/>
                          </a:stretch>
                        </pic:blipFill>
                        <pic:spPr>
                          <a:xfrm>
                            <a:off x="0" y="0"/>
                            <a:ext cx="1871980" cy="1398270"/>
                          </a:xfrm>
                          <a:prstGeom prst="rect">
                            <a:avLst/>
                          </a:prstGeom>
                        </pic:spPr>
                      </pic:pic>
                    </a:graphicData>
                  </a:graphic>
                </wp:inline>
              </w:drawing>
            </w:r>
          </w:p>
          <w:p w14:paraId="7A48F51F">
            <w:pPr>
              <w:numPr>
                <w:ilvl w:val="0"/>
                <w:numId w:val="1"/>
              </w:numPr>
              <w:spacing w:line="360" w:lineRule="auto"/>
              <w:jc w:val="both"/>
              <w:rPr>
                <w:rFonts w:hint="eastAsia" w:ascii="楷体" w:hAnsi="楷体" w:eastAsia="楷体" w:cs="楷体"/>
                <w:bCs/>
                <w:sz w:val="24"/>
                <w:lang w:val="en-US" w:eastAsia="zh-CN"/>
              </w:rPr>
            </w:pPr>
            <w:r>
              <w:rPr>
                <w:rFonts w:hint="eastAsia" w:ascii="楷体" w:hAnsi="楷体" w:eastAsia="楷体" w:cs="楷体"/>
                <w:bCs/>
                <w:sz w:val="24"/>
                <w:lang w:val="en-US" w:eastAsia="zh-CN"/>
              </w:rPr>
              <w:t>故障分析</w:t>
            </w:r>
          </w:p>
          <w:p w14:paraId="07D5892F">
            <w:pPr>
              <w:numPr>
                <w:ilvl w:val="0"/>
                <w:numId w:val="0"/>
              </w:numPr>
              <w:spacing w:line="360" w:lineRule="auto"/>
              <w:ind w:firstLine="480" w:firstLineChars="200"/>
              <w:jc w:val="both"/>
              <w:rPr>
                <w:rFonts w:hint="default" w:ascii="楷体" w:hAnsi="楷体" w:eastAsia="楷体" w:cs="楷体"/>
                <w:bCs/>
                <w:sz w:val="24"/>
                <w:lang w:val="en-US" w:eastAsia="zh-CN"/>
              </w:rPr>
            </w:pPr>
            <w:r>
              <w:rPr>
                <w:rFonts w:hint="eastAsia" w:ascii="楷体" w:hAnsi="楷体" w:eastAsia="楷体" w:cs="楷体"/>
                <w:bCs/>
                <w:sz w:val="24"/>
                <w:lang w:val="en-US" w:eastAsia="zh-CN"/>
              </w:rPr>
              <w:t>从故障案例的损伤可以看出，在接水盘的安装螺栓处有一条明显的裂纹。</w:t>
            </w:r>
          </w:p>
          <w:p w14:paraId="3010E5A7">
            <w:pPr>
              <w:numPr>
                <w:ilvl w:val="0"/>
                <w:numId w:val="0"/>
              </w:numPr>
              <w:spacing w:line="360" w:lineRule="auto"/>
              <w:jc w:val="center"/>
              <w:rPr>
                <w:rFonts w:hint="default" w:ascii="楷体" w:hAnsi="楷体" w:eastAsia="楷体" w:cs="楷体"/>
                <w:bCs/>
                <w:sz w:val="24"/>
                <w:lang w:val="en-US" w:eastAsia="zh-CN"/>
              </w:rPr>
            </w:pPr>
            <w:r>
              <w:rPr>
                <w:rFonts w:hint="default" w:ascii="楷体" w:hAnsi="楷体" w:eastAsia="楷体" w:cs="楷体"/>
                <w:bCs/>
                <w:sz w:val="24"/>
                <w:lang w:val="en-US" w:eastAsia="zh-CN"/>
              </w:rPr>
              <w:drawing>
                <wp:inline distT="0" distB="0" distL="114300" distR="114300">
                  <wp:extent cx="1854200" cy="1769745"/>
                  <wp:effectExtent l="0" t="0" r="12700" b="1905"/>
                  <wp:docPr id="8" name="图片 8" descr="7eb956a2-5b18-46dc-82b1-37260a0e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eb956a2-5b18-46dc-82b1-37260a0e5234"/>
                          <pic:cNvPicPr>
                            <a:picLocks noChangeAspect="1"/>
                          </pic:cNvPicPr>
                        </pic:nvPicPr>
                        <pic:blipFill>
                          <a:blip r:embed="rId9">
                            <a:lum bright="6000" contrast="30000"/>
                          </a:blip>
                          <a:stretch>
                            <a:fillRect/>
                          </a:stretch>
                        </pic:blipFill>
                        <pic:spPr>
                          <a:xfrm>
                            <a:off x="0" y="0"/>
                            <a:ext cx="1854200" cy="1769745"/>
                          </a:xfrm>
                          <a:prstGeom prst="rect">
                            <a:avLst/>
                          </a:prstGeom>
                        </pic:spPr>
                      </pic:pic>
                    </a:graphicData>
                  </a:graphic>
                </wp:inline>
              </w:drawing>
            </w:r>
          </w:p>
          <w:p w14:paraId="31E169CB">
            <w:pPr>
              <w:numPr>
                <w:ilvl w:val="0"/>
                <w:numId w:val="0"/>
              </w:numPr>
              <w:spacing w:line="360" w:lineRule="auto"/>
              <w:ind w:firstLine="480" w:firstLineChars="200"/>
              <w:jc w:val="both"/>
              <w:rPr>
                <w:rFonts w:hint="default" w:ascii="楷体" w:hAnsi="楷体" w:eastAsia="楷体" w:cs="楷体"/>
                <w:bCs/>
                <w:sz w:val="24"/>
                <w:lang w:val="en-US" w:eastAsia="zh-CN"/>
              </w:rPr>
            </w:pPr>
            <w:r>
              <w:rPr>
                <w:rFonts w:hint="eastAsia" w:ascii="楷体" w:hAnsi="楷体" w:eastAsia="楷体" w:cs="楷体"/>
                <w:bCs/>
                <w:sz w:val="24"/>
                <w:lang w:val="en-US" w:eastAsia="zh-CN"/>
              </w:rPr>
              <w:t>进一步对机队的历史数据进行梳理，可以看出集水盘存在多种裂纹损伤的情况，但通常集中在集水盘的前部区域，分析是由于集水盘相对较薄，且前部无螺栓固定，加上运行中受到振动以及落地载荷的影响，逐渐出现疲劳损伤，并随着运行时间的增加，裂纹逐渐扩展，导致运行中可能出现异响。</w:t>
            </w:r>
          </w:p>
          <w:p w14:paraId="73AA811C">
            <w:pPr>
              <w:numPr>
                <w:ilvl w:val="0"/>
                <w:numId w:val="0"/>
              </w:numPr>
              <w:spacing w:line="360" w:lineRule="auto"/>
              <w:jc w:val="center"/>
              <w:rPr>
                <w:rFonts w:hint="default" w:ascii="楷体" w:hAnsi="楷体" w:eastAsia="楷体" w:cs="楷体"/>
                <w:bCs/>
                <w:sz w:val="24"/>
                <w:lang w:val="en-US" w:eastAsia="zh-CN"/>
              </w:rPr>
            </w:pPr>
            <w:r>
              <w:rPr>
                <w:rFonts w:hint="default" w:ascii="楷体" w:hAnsi="楷体" w:eastAsia="楷体" w:cs="楷体"/>
                <w:bCs/>
                <w:sz w:val="24"/>
                <w:lang w:val="en-US" w:eastAsia="zh-CN"/>
              </w:rPr>
              <w:drawing>
                <wp:inline distT="0" distB="0" distL="114300" distR="114300">
                  <wp:extent cx="2054225" cy="1656080"/>
                  <wp:effectExtent l="0" t="0" r="3175" b="1270"/>
                  <wp:docPr id="9" name="图片 9" descr="293f6e16-9047-4750-88ba-4186025d31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93f6e16-9047-4750-88ba-4186025d31da"/>
                          <pic:cNvPicPr>
                            <a:picLocks noChangeAspect="1"/>
                          </pic:cNvPicPr>
                        </pic:nvPicPr>
                        <pic:blipFill>
                          <a:blip r:embed="rId10"/>
                          <a:stretch>
                            <a:fillRect/>
                          </a:stretch>
                        </pic:blipFill>
                        <pic:spPr>
                          <a:xfrm>
                            <a:off x="0" y="0"/>
                            <a:ext cx="2054225" cy="1656080"/>
                          </a:xfrm>
                          <a:prstGeom prst="rect">
                            <a:avLst/>
                          </a:prstGeom>
                        </pic:spPr>
                      </pic:pic>
                    </a:graphicData>
                  </a:graphic>
                </wp:inline>
              </w:drawing>
            </w:r>
            <w:r>
              <w:rPr>
                <w:rFonts w:hint="default" w:ascii="楷体" w:hAnsi="楷体" w:eastAsia="楷体" w:cs="楷体"/>
                <w:bCs/>
                <w:sz w:val="24"/>
                <w:lang w:val="en-US" w:eastAsia="zh-CN"/>
              </w:rPr>
              <w:drawing>
                <wp:inline distT="0" distB="0" distL="114300" distR="114300">
                  <wp:extent cx="1720850" cy="1656080"/>
                  <wp:effectExtent l="0" t="0" r="12700" b="1270"/>
                  <wp:docPr id="10" name="图片 10" descr="fbabe756-b9ae-4f66-94fc-60035360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babe756-b9ae-4f66-94fc-600353607201"/>
                          <pic:cNvPicPr>
                            <a:picLocks noChangeAspect="1"/>
                          </pic:cNvPicPr>
                        </pic:nvPicPr>
                        <pic:blipFill>
                          <a:blip r:embed="rId11"/>
                          <a:stretch>
                            <a:fillRect/>
                          </a:stretch>
                        </pic:blipFill>
                        <pic:spPr>
                          <a:xfrm>
                            <a:off x="0" y="0"/>
                            <a:ext cx="1720850" cy="1656080"/>
                          </a:xfrm>
                          <a:prstGeom prst="rect">
                            <a:avLst/>
                          </a:prstGeom>
                        </pic:spPr>
                      </pic:pic>
                    </a:graphicData>
                  </a:graphic>
                </wp:inline>
              </w:drawing>
            </w:r>
            <w:r>
              <w:rPr>
                <w:rFonts w:hint="default" w:ascii="楷体" w:hAnsi="楷体" w:eastAsia="楷体" w:cs="楷体"/>
                <w:bCs/>
                <w:sz w:val="24"/>
                <w:lang w:val="en-US" w:eastAsia="zh-CN"/>
              </w:rPr>
              <w:drawing>
                <wp:inline distT="0" distB="0" distL="114300" distR="114300">
                  <wp:extent cx="1359535" cy="1656080"/>
                  <wp:effectExtent l="0" t="0" r="12065" b="1270"/>
                  <wp:docPr id="12" name="图片 12" descr="fd3f01f8-e6d8-4615-99ec-cf2902f2bd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d3f01f8-e6d8-4615-99ec-cf2902f2bd96"/>
                          <pic:cNvPicPr>
                            <a:picLocks noChangeAspect="1"/>
                          </pic:cNvPicPr>
                        </pic:nvPicPr>
                        <pic:blipFill>
                          <a:blip r:embed="rId12"/>
                          <a:stretch>
                            <a:fillRect/>
                          </a:stretch>
                        </pic:blipFill>
                        <pic:spPr>
                          <a:xfrm>
                            <a:off x="0" y="0"/>
                            <a:ext cx="1359535" cy="1656080"/>
                          </a:xfrm>
                          <a:prstGeom prst="rect">
                            <a:avLst/>
                          </a:prstGeom>
                        </pic:spPr>
                      </pic:pic>
                    </a:graphicData>
                  </a:graphic>
                </wp:inline>
              </w:drawing>
            </w:r>
          </w:p>
        </w:tc>
      </w:tr>
      <w:tr w14:paraId="5FD66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shd w:val="clear" w:color="auto" w:fill="D6E3BC"/>
          </w:tcPr>
          <w:p w14:paraId="446B34D3">
            <w:pPr>
              <w:spacing w:line="360" w:lineRule="auto"/>
              <w:rPr>
                <w:rFonts w:hint="eastAsia" w:ascii="楷体" w:hAnsi="楷体" w:eastAsia="楷体" w:cs="楷体"/>
                <w:b/>
                <w:sz w:val="24"/>
              </w:rPr>
            </w:pPr>
            <w:r>
              <w:rPr>
                <w:rFonts w:hint="eastAsia" w:ascii="楷体" w:hAnsi="楷体" w:eastAsia="楷体" w:cs="楷体"/>
                <w:b/>
                <w:bCs/>
                <w:sz w:val="24"/>
                <w:szCs w:val="32"/>
                <w:lang w:val="en-US" w:eastAsia="zh-CN"/>
              </w:rPr>
              <w:t>四</w:t>
            </w:r>
            <w:r>
              <w:rPr>
                <w:rFonts w:ascii="楷体" w:hAnsi="楷体" w:eastAsia="楷体" w:cs="楷体"/>
                <w:b/>
                <w:bCs/>
                <w:sz w:val="24"/>
                <w:szCs w:val="32"/>
              </w:rPr>
              <w:t>．</w:t>
            </w:r>
            <w:r>
              <w:rPr>
                <w:rFonts w:ascii="楷体" w:hAnsi="楷体" w:eastAsia="楷体" w:cs="楷体"/>
                <w:b/>
                <w:sz w:val="24"/>
              </w:rPr>
              <w:t>厂家措施</w:t>
            </w:r>
          </w:p>
        </w:tc>
      </w:tr>
      <w:tr w14:paraId="76900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2"/>
          </w:tcPr>
          <w:p w14:paraId="65832D54">
            <w:pPr>
              <w:pStyle w:val="6"/>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firstLine="0"/>
              <w:jc w:val="left"/>
              <w:textAlignment w:val="center"/>
              <w:rPr>
                <w:rFonts w:hint="eastAsia" w:ascii="楷体" w:hAnsi="楷体" w:eastAsia="楷体" w:cs="楷体"/>
                <w:bCs/>
                <w:kern w:val="2"/>
                <w:sz w:val="24"/>
                <w:lang w:val="en-US" w:eastAsia="zh-CN" w:bidi="ar-SA"/>
              </w:rPr>
            </w:pPr>
            <w:r>
              <w:rPr>
                <w:rFonts w:hint="eastAsia" w:ascii="楷体" w:hAnsi="楷体" w:eastAsia="楷体" w:cs="楷体"/>
                <w:bCs/>
                <w:kern w:val="2"/>
                <w:sz w:val="24"/>
                <w:lang w:val="en-US" w:eastAsia="zh-CN" w:bidi="ar-SA"/>
              </w:rPr>
              <w:t>1、737NG-FTD-34-14006/737-SL-34-223 波音收到多个客户反映气象雷达收发机内部的电子元件由于液体污染出现损坏，这些液体最常见的是来自驾驶舱内无意中洒出的咖啡或软饮料，也可能是来自厨房或盥洗室的泄漏。现有的集水盘并不能完全保护机载气象雷达/收发机免受这些液体泄漏的影响，从线号5368开始，波音推出了新构型的集水盘，加大了面积，件号从</w:t>
            </w:r>
            <w:r>
              <w:rPr>
                <w:rFonts w:hint="eastAsia" w:ascii="楷体" w:hAnsi="楷体" w:eastAsia="楷体" w:cs="楷体"/>
                <w:color w:val="000000"/>
                <w:spacing w:val="0"/>
                <w:position w:val="0"/>
                <w:sz w:val="24"/>
                <w:szCs w:val="24"/>
              </w:rPr>
              <w:t>65C33038-4</w:t>
            </w:r>
            <w:r>
              <w:rPr>
                <w:rFonts w:hint="eastAsia" w:ascii="楷体" w:hAnsi="楷体" w:eastAsia="楷体" w:cs="楷体"/>
                <w:color w:val="000000"/>
                <w:spacing w:val="0"/>
                <w:position w:val="0"/>
                <w:sz w:val="24"/>
                <w:szCs w:val="24"/>
                <w:lang w:val="en-US" w:eastAsia="zh-CN"/>
              </w:rPr>
              <w:t>升级到</w:t>
            </w:r>
            <w:r>
              <w:rPr>
                <w:rFonts w:hint="eastAsia" w:ascii="楷体" w:hAnsi="楷体" w:eastAsia="楷体" w:cs="楷体"/>
                <w:color w:val="000000"/>
                <w:spacing w:val="0"/>
                <w:position w:val="0"/>
                <w:sz w:val="24"/>
                <w:szCs w:val="24"/>
              </w:rPr>
              <w:t>65C33038-</w:t>
            </w:r>
            <w:r>
              <w:rPr>
                <w:rFonts w:hint="eastAsia" w:ascii="楷体" w:hAnsi="楷体" w:eastAsia="楷体" w:cs="楷体"/>
                <w:color w:val="000000"/>
                <w:spacing w:val="0"/>
                <w:position w:val="0"/>
                <w:sz w:val="24"/>
                <w:szCs w:val="24"/>
                <w:lang w:val="en-US" w:eastAsia="zh-CN"/>
              </w:rPr>
              <w:t>5，</w:t>
            </w:r>
            <w:r>
              <w:rPr>
                <w:rFonts w:hint="eastAsia" w:ascii="楷体" w:hAnsi="楷体" w:eastAsia="楷体" w:cs="楷体"/>
                <w:bCs/>
                <w:kern w:val="2"/>
                <w:sz w:val="24"/>
                <w:lang w:val="en-US" w:eastAsia="zh-CN" w:bidi="ar-SA"/>
              </w:rPr>
              <w:t>更好的保护收发机免受潮气污染。</w:t>
            </w:r>
          </w:p>
          <w:p w14:paraId="15A8EAF2">
            <w:pPr>
              <w:numPr>
                <w:ilvl w:val="0"/>
                <w:numId w:val="0"/>
              </w:numPr>
              <w:spacing w:line="360" w:lineRule="auto"/>
              <w:jc w:val="center"/>
              <w:rPr>
                <w:rFonts w:hint="default" w:ascii="楷体" w:hAnsi="楷体" w:eastAsia="楷体" w:cs="楷体"/>
                <w:bCs/>
                <w:sz w:val="24"/>
                <w:lang w:val="en-US" w:eastAsia="zh-CN"/>
              </w:rPr>
            </w:pPr>
            <w:r>
              <w:rPr>
                <w:rFonts w:hint="default" w:ascii="楷体" w:hAnsi="楷体" w:eastAsia="楷体" w:cs="楷体"/>
                <w:bCs/>
                <w:sz w:val="24"/>
                <w:lang w:val="en-US" w:eastAsia="zh-CN"/>
              </w:rPr>
              <w:drawing>
                <wp:inline distT="0" distB="0" distL="114300" distR="114300">
                  <wp:extent cx="3101340" cy="1758315"/>
                  <wp:effectExtent l="0" t="0" r="3810" b="13335"/>
                  <wp:docPr id="14" name="图片 14" descr="37fbeb70-a4e3-4ef0-bd0d-78b064864b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7fbeb70-a4e3-4ef0-bd0d-78b064864b47"/>
                          <pic:cNvPicPr>
                            <a:picLocks noChangeAspect="1"/>
                          </pic:cNvPicPr>
                        </pic:nvPicPr>
                        <pic:blipFill>
                          <a:blip r:embed="rId13"/>
                          <a:stretch>
                            <a:fillRect/>
                          </a:stretch>
                        </pic:blipFill>
                        <pic:spPr>
                          <a:xfrm>
                            <a:off x="0" y="0"/>
                            <a:ext cx="3101340" cy="1758315"/>
                          </a:xfrm>
                          <a:prstGeom prst="rect">
                            <a:avLst/>
                          </a:prstGeom>
                        </pic:spPr>
                      </pic:pic>
                    </a:graphicData>
                  </a:graphic>
                </wp:inline>
              </w:drawing>
            </w:r>
            <w:r>
              <w:rPr>
                <w:rFonts w:hint="eastAsia" w:ascii="楷体" w:hAnsi="楷体" w:eastAsia="楷体" w:cs="楷体"/>
                <w:bCs/>
                <w:sz w:val="24"/>
                <w:lang w:val="en-US" w:eastAsia="zh-CN"/>
              </w:rPr>
              <w:t xml:space="preserve"> </w:t>
            </w:r>
            <w:r>
              <w:rPr>
                <w:rFonts w:hint="default" w:ascii="楷体" w:hAnsi="楷体" w:eastAsia="楷体" w:cs="楷体"/>
                <w:bCs/>
                <w:sz w:val="24"/>
                <w:lang w:val="en-US" w:eastAsia="zh-CN"/>
              </w:rPr>
              <w:drawing>
                <wp:inline distT="0" distB="0" distL="114300" distR="114300">
                  <wp:extent cx="2073275" cy="1753870"/>
                  <wp:effectExtent l="0" t="0" r="3175" b="17780"/>
                  <wp:docPr id="15" name="图片 15" descr="e9425b7e-88cc-4808-b5e8-a2b3c9f309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9425b7e-88cc-4808-b5e8-a2b3c9f309e5"/>
                          <pic:cNvPicPr>
                            <a:picLocks noChangeAspect="1"/>
                          </pic:cNvPicPr>
                        </pic:nvPicPr>
                        <pic:blipFill>
                          <a:blip r:embed="rId14"/>
                          <a:stretch>
                            <a:fillRect/>
                          </a:stretch>
                        </pic:blipFill>
                        <pic:spPr>
                          <a:xfrm>
                            <a:off x="0" y="0"/>
                            <a:ext cx="2073275" cy="1753870"/>
                          </a:xfrm>
                          <a:prstGeom prst="rect">
                            <a:avLst/>
                          </a:prstGeom>
                        </pic:spPr>
                      </pic:pic>
                    </a:graphicData>
                  </a:graphic>
                </wp:inline>
              </w:drawing>
            </w:r>
          </w:p>
          <w:p w14:paraId="1B06BCEE">
            <w:pPr>
              <w:numPr>
                <w:ilvl w:val="0"/>
                <w:numId w:val="0"/>
              </w:numPr>
              <w:spacing w:line="360" w:lineRule="auto"/>
              <w:jc w:val="both"/>
              <w:rPr>
                <w:rFonts w:hint="default" w:ascii="楷体" w:hAnsi="楷体" w:eastAsia="楷体" w:cs="楷体"/>
                <w:bCs/>
                <w:sz w:val="24"/>
                <w:lang w:val="en-US" w:eastAsia="zh-CN"/>
              </w:rPr>
            </w:pPr>
            <w:r>
              <w:rPr>
                <w:rFonts w:hint="eastAsia" w:ascii="楷体" w:hAnsi="楷体" w:eastAsia="楷体" w:cs="楷体"/>
                <w:bCs/>
                <w:sz w:val="24"/>
                <w:lang w:val="en-US" w:eastAsia="zh-CN"/>
              </w:rPr>
              <w:t>2、针对集水盘损伤，波音建议尽快完成更换。</w:t>
            </w:r>
          </w:p>
        </w:tc>
      </w:tr>
      <w:tr w14:paraId="3B1E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2"/>
            <w:shd w:val="clear" w:color="auto" w:fill="D6E3BC"/>
          </w:tcPr>
          <w:p w14:paraId="1E9BA107">
            <w:pPr>
              <w:spacing w:line="360" w:lineRule="auto"/>
            </w:pPr>
            <w:r>
              <w:rPr>
                <w:rFonts w:hint="eastAsia" w:ascii="楷体" w:hAnsi="楷体" w:eastAsia="楷体" w:cs="楷体"/>
                <w:b/>
                <w:sz w:val="24"/>
                <w:lang w:val="en-US" w:eastAsia="zh-CN"/>
              </w:rPr>
              <w:t>五</w:t>
            </w:r>
            <w:r>
              <w:rPr>
                <w:rFonts w:ascii="楷体" w:hAnsi="楷体" w:eastAsia="楷体" w:cs="楷体"/>
                <w:b/>
                <w:sz w:val="24"/>
              </w:rPr>
              <w:t>．航司措施</w:t>
            </w:r>
          </w:p>
        </w:tc>
      </w:tr>
      <w:tr w14:paraId="7E962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2"/>
          </w:tcPr>
          <w:p w14:paraId="3A0094B0">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楷体" w:hAnsi="楷体" w:eastAsia="楷体" w:cs="楷体"/>
                <w:bCs/>
                <w:sz w:val="24"/>
                <w:lang w:val="en-US" w:eastAsia="zh-CN"/>
              </w:rPr>
            </w:pPr>
            <w:r>
              <w:rPr>
                <w:rFonts w:hint="eastAsia" w:ascii="楷体" w:hAnsi="楷体" w:eastAsia="楷体" w:cs="楷体"/>
                <w:bCs/>
                <w:sz w:val="24"/>
                <w:lang w:val="en-US" w:eastAsia="zh-CN"/>
              </w:rPr>
              <w:t>1、MP定期详细目视检查上、下安定面配平前部机构保持松紧螺套及松紧螺套连接点。（涉及接水盘拆装）</w:t>
            </w:r>
          </w:p>
          <w:p w14:paraId="05EA615F">
            <w:pPr>
              <w:keepNext w:val="0"/>
              <w:keepLines w:val="0"/>
              <w:pageBreakBefore w:val="0"/>
              <w:widowControl w:val="0"/>
              <w:kinsoku/>
              <w:wordWrap w:val="0"/>
              <w:overflowPunct/>
              <w:topLinePunct w:val="0"/>
              <w:autoSpaceDE/>
              <w:autoSpaceDN/>
              <w:bidi w:val="0"/>
              <w:adjustRightInd/>
              <w:snapToGrid/>
              <w:spacing w:line="360" w:lineRule="auto"/>
              <w:jc w:val="left"/>
              <w:textAlignment w:val="auto"/>
              <w:rPr>
                <w:rFonts w:hint="default" w:ascii="楷体" w:hAnsi="楷体" w:eastAsia="楷体" w:cs="楷体"/>
                <w:bCs/>
                <w:sz w:val="24"/>
                <w:lang w:val="en-US" w:eastAsia="zh-CN"/>
              </w:rPr>
            </w:pPr>
            <w:r>
              <w:rPr>
                <w:rFonts w:hint="eastAsia" w:ascii="楷体" w:hAnsi="楷体" w:eastAsia="楷体" w:cs="楷体"/>
                <w:bCs/>
                <w:sz w:val="24"/>
                <w:lang w:val="en-US" w:eastAsia="zh-CN"/>
              </w:rPr>
              <w:t>2、MP定期内部-整体目视:前轮舱前部区域检查STA178隔框到倾斜隔框(STA224.8到227.8)的机身下半部，包括隔框，蒙皮壁板(蒙皮，框，桁条)，纵向搭接，前电子舱接近门开口，及前轮舱开口。（区域检查）</w:t>
            </w:r>
          </w:p>
        </w:tc>
      </w:tr>
      <w:tr w14:paraId="5B514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shd w:val="clear" w:color="auto" w:fill="D6E3BC"/>
          </w:tcPr>
          <w:p w14:paraId="17B6C388">
            <w:pPr>
              <w:spacing w:line="360" w:lineRule="auto"/>
            </w:pPr>
            <w:r>
              <w:rPr>
                <w:rFonts w:hint="eastAsia" w:ascii="楷体" w:hAnsi="楷体" w:eastAsia="楷体" w:cs="楷体"/>
                <w:b/>
                <w:sz w:val="24"/>
                <w:lang w:val="en-US" w:eastAsia="zh-CN"/>
              </w:rPr>
              <w:t>六</w:t>
            </w:r>
            <w:r>
              <w:rPr>
                <w:rFonts w:ascii="楷体" w:hAnsi="楷体" w:eastAsia="楷体" w:cs="楷体"/>
                <w:b/>
                <w:sz w:val="24"/>
              </w:rPr>
              <w:t>．结论和建议</w:t>
            </w:r>
          </w:p>
        </w:tc>
      </w:tr>
      <w:tr w14:paraId="7644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5000" w:type="pct"/>
            <w:gridSpan w:val="2"/>
          </w:tcPr>
          <w:p w14:paraId="61C27696">
            <w:pPr>
              <w:numPr>
                <w:ilvl w:val="0"/>
                <w:numId w:val="0"/>
              </w:numPr>
              <w:spacing w:line="360" w:lineRule="auto"/>
              <w:ind w:firstLine="480"/>
              <w:jc w:val="left"/>
              <w:rPr>
                <w:rFonts w:hint="eastAsia" w:ascii="楷体" w:hAnsi="楷体" w:eastAsia="楷体" w:cs="楷体"/>
                <w:bCs/>
                <w:sz w:val="24"/>
                <w:lang w:val="en-US" w:eastAsia="zh-CN"/>
              </w:rPr>
            </w:pPr>
            <w:r>
              <w:rPr>
                <w:rFonts w:hint="eastAsia" w:ascii="楷体" w:hAnsi="楷体" w:eastAsia="楷体" w:cs="楷体"/>
                <w:bCs/>
                <w:sz w:val="24"/>
                <w:lang w:val="en-US" w:eastAsia="zh-CN"/>
              </w:rPr>
              <w:t>针对前设备舱集水盘损伤，从历史案例的情况来看，是由于运行中的疲劳损伤导致，为减少集水盘损伤导致的异响对运行产生影响，建议如下：</w:t>
            </w:r>
          </w:p>
          <w:p w14:paraId="1FDDAEE8">
            <w:pPr>
              <w:numPr>
                <w:ilvl w:val="0"/>
                <w:numId w:val="0"/>
              </w:numPr>
              <w:spacing w:line="360" w:lineRule="auto"/>
              <w:jc w:val="left"/>
              <w:rPr>
                <w:rFonts w:hint="eastAsia" w:ascii="楷体" w:hAnsi="楷体" w:eastAsia="楷体" w:cs="楷体"/>
                <w:bCs/>
                <w:sz w:val="24"/>
                <w:lang w:val="en-US" w:eastAsia="zh-CN"/>
              </w:rPr>
            </w:pPr>
            <w:r>
              <w:rPr>
                <w:rFonts w:hint="eastAsia" w:ascii="楷体" w:hAnsi="楷体" w:eastAsia="楷体" w:cs="楷体"/>
                <w:bCs/>
                <w:sz w:val="24"/>
                <w:lang w:val="en-US" w:eastAsia="zh-CN"/>
              </w:rPr>
              <w:t>航司：</w:t>
            </w:r>
          </w:p>
          <w:p w14:paraId="4ADEF946">
            <w:pPr>
              <w:numPr>
                <w:ilvl w:val="0"/>
                <w:numId w:val="0"/>
              </w:numPr>
              <w:spacing w:line="360" w:lineRule="auto"/>
              <w:jc w:val="left"/>
              <w:rPr>
                <w:rFonts w:hint="default" w:ascii="楷体" w:hAnsi="楷体" w:eastAsia="楷体" w:cs="楷体"/>
                <w:bCs/>
                <w:sz w:val="24"/>
                <w:lang w:val="en-US" w:eastAsia="zh-CN"/>
              </w:rPr>
            </w:pPr>
            <w:r>
              <w:rPr>
                <w:rFonts w:hint="eastAsia" w:ascii="楷体" w:hAnsi="楷体" w:eastAsia="楷体" w:cs="楷体"/>
                <w:bCs/>
                <w:sz w:val="24"/>
                <w:lang w:val="en-US" w:eastAsia="zh-CN"/>
              </w:rPr>
              <w:t>1、结合机队失效情况，加强对于前设备舱集水盘的检查，及时发现损伤并完成更换。</w:t>
            </w:r>
          </w:p>
        </w:tc>
      </w:tr>
    </w:tbl>
    <w:p w14:paraId="0E789E36"/>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embedRegular r:id="rId1" w:fontKey="{522A65B2-ABCC-4AED-A8DA-51C91C58FB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8398F">
    <w:r>
      <w:rPr>
        <w:rFonts w:ascii="楷体" w:hAnsi="楷体" w:eastAsia="楷体" w:cs="楷体"/>
        <w:sz w:val="24"/>
        <w:szCs w:val="40"/>
      </w:rPr>
      <w:t>202</w:t>
    </w:r>
    <w:r>
      <w:rPr>
        <w:rFonts w:hint="eastAsia" w:ascii="楷体" w:hAnsi="楷体" w:eastAsia="楷体" w:cs="楷体"/>
        <w:sz w:val="24"/>
        <w:szCs w:val="40"/>
        <w:lang w:val="en-US" w:eastAsia="zh-CN"/>
      </w:rPr>
      <w:t>6</w:t>
    </w:r>
    <w:r>
      <w:rPr>
        <w:rFonts w:ascii="楷体" w:hAnsi="楷体" w:eastAsia="楷体" w:cs="楷体"/>
        <w:sz w:val="24"/>
        <w:szCs w:val="40"/>
      </w:rPr>
      <w:t>年</w:t>
    </w:r>
    <w:r>
      <w:rPr>
        <w:rFonts w:hint="eastAsia" w:ascii="楷体" w:hAnsi="楷体" w:eastAsia="楷体" w:cs="楷体"/>
        <w:sz w:val="24"/>
        <w:szCs w:val="40"/>
        <w:lang w:val="en-US" w:eastAsia="zh-CN"/>
      </w:rPr>
      <w:t>05</w:t>
    </w:r>
    <w:r>
      <w:rPr>
        <w:rFonts w:ascii="楷体" w:hAnsi="楷体" w:eastAsia="楷体" w:cs="楷体"/>
        <w:sz w:val="24"/>
        <w:szCs w:val="40"/>
      </w:rPr>
      <w:t>月</w:t>
    </w:r>
    <w:r>
      <w:rPr>
        <w:rFonts w:hint="eastAsia" w:ascii="楷体" w:hAnsi="楷体" w:eastAsia="楷体" w:cs="楷体"/>
        <w:sz w:val="24"/>
        <w:szCs w:val="40"/>
        <w:lang w:val="en-US" w:eastAsia="zh-CN"/>
      </w:rPr>
      <w:t>13</w:t>
    </w:r>
    <w:r>
      <w:rPr>
        <w:rFonts w:ascii="楷体" w:hAnsi="楷体" w:eastAsia="楷体" w:cs="楷体"/>
        <w:sz w:val="24"/>
        <w:szCs w:val="40"/>
      </w:rPr>
      <w:t>日</w:t>
    </w:r>
    <w:r>
      <w:rPr>
        <w:rFonts w:hint="eastAsia" w:ascii="楷体" w:hAnsi="楷体" w:eastAsia="楷体" w:cs="楷体"/>
        <w:sz w:val="24"/>
        <w:szCs w:val="40"/>
      </w:rPr>
      <w:t xml:space="preserve"> </w:t>
    </w:r>
    <w:r>
      <w:rPr>
        <w:rFonts w:hint="eastAsia" w:ascii="楷体" w:hAnsi="楷体" w:eastAsia="楷体" w:cs="楷体"/>
        <w:sz w:val="24"/>
        <w:szCs w:val="40"/>
        <w:lang w:val="en-US" w:eastAsia="zh-CN"/>
      </w:rPr>
      <w:t xml:space="preserve"> </w:t>
    </w:r>
    <w:r>
      <w:rPr>
        <w:rFonts w:hint="eastAsia" w:ascii="楷体" w:hAnsi="楷体" w:eastAsia="楷体" w:cs="楷体"/>
        <w:sz w:val="24"/>
        <w:szCs w:val="40"/>
      </w:rPr>
      <w:t>编写：B7</w:t>
    </w:r>
    <w:r>
      <w:rPr>
        <w:rFonts w:hint="eastAsia" w:ascii="楷体" w:hAnsi="楷体" w:eastAsia="楷体" w:cs="楷体"/>
        <w:sz w:val="24"/>
        <w:szCs w:val="40"/>
        <w:lang w:val="en-US" w:eastAsia="zh-CN"/>
      </w:rPr>
      <w:t>3</w:t>
    </w:r>
    <w:r>
      <w:rPr>
        <w:rFonts w:hint="eastAsia" w:ascii="楷体" w:hAnsi="楷体" w:eastAsia="楷体" w:cs="楷体"/>
        <w:sz w:val="24"/>
        <w:szCs w:val="40"/>
      </w:rPr>
      <w:t xml:space="preserve">7MTC </w:t>
    </w:r>
    <w:r>
      <w:rPr>
        <w:rFonts w:hint="eastAsia" w:ascii="楷体" w:hAnsi="楷体" w:eastAsia="楷体" w:cs="楷体"/>
        <w:sz w:val="24"/>
        <w:szCs w:val="40"/>
        <w:lang w:val="en-US" w:eastAsia="zh-CN"/>
      </w:rPr>
      <w:t>海航技术曾晶</w:t>
    </w:r>
    <w:r>
      <w:rPr>
        <w:rFonts w:ascii="楷体" w:hAnsi="楷体" w:eastAsia="楷体" w:cs="楷体"/>
        <w:sz w:val="24"/>
        <w:szCs w:val="40"/>
      </w:rPr>
      <w:t xml:space="preserve"> </w:t>
    </w:r>
    <w:r>
      <w:rPr>
        <w:rFonts w:hint="eastAsia" w:ascii="楷体" w:hAnsi="楷体" w:eastAsia="楷体" w:cs="楷体"/>
        <w:sz w:val="24"/>
        <w:szCs w:val="40"/>
        <w:lang w:val="en-US" w:eastAsia="zh-CN"/>
      </w:rPr>
      <w:t xml:space="preserve"> </w:t>
    </w:r>
    <w:r>
      <w:rPr>
        <w:rFonts w:hint="eastAsia" w:ascii="楷体" w:hAnsi="楷体" w:eastAsia="楷体" w:cs="楷体"/>
        <w:sz w:val="24"/>
        <w:szCs w:val="40"/>
      </w:rPr>
      <w:t>审核：民航维修技术委员</w:t>
    </w:r>
  </w:p>
  <w:p w14:paraId="4083D757">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AF034">
    <w:pPr>
      <w:pStyle w:val="5"/>
    </w:pPr>
  </w:p>
  <w:p w14:paraId="035074BF">
    <w:pPr>
      <w:pStyle w:val="5"/>
    </w:pPr>
  </w:p>
  <w:p w14:paraId="189A675E">
    <w:pPr>
      <w:pStyle w:val="5"/>
      <w:rPr>
        <w:rFonts w:hint="default" w:ascii="楷体" w:hAnsi="楷体" w:eastAsia="楷体" w:cs="楷体"/>
        <w:b/>
        <w:bCs/>
        <w:lang w:val="en-US" w:eastAsia="zh-CN"/>
      </w:rPr>
    </w:pPr>
    <w:r>
      <w:rPr>
        <w:rFonts w:hint="eastAsia" w:ascii="楷体" w:hAnsi="楷体" w:eastAsia="楷体" w:cs="楷体"/>
        <w:b/>
        <w:bCs/>
        <w:lang w:val="en-US" w:eastAsia="zh-CN"/>
      </w:rPr>
      <w:t>维修技术委员会（MTC）                                        维修技术信息 MTM-737-27-202607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947E22"/>
    <w:multiLevelType w:val="singleLevel"/>
    <w:tmpl w:val="14947E2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373726"/>
    <w:rsid w:val="009F1215"/>
    <w:rsid w:val="00AF36C8"/>
    <w:rsid w:val="00CA545A"/>
    <w:rsid w:val="02F64F89"/>
    <w:rsid w:val="031F252E"/>
    <w:rsid w:val="05D44D3A"/>
    <w:rsid w:val="06385A43"/>
    <w:rsid w:val="068B011B"/>
    <w:rsid w:val="084134C5"/>
    <w:rsid w:val="090C4E18"/>
    <w:rsid w:val="0A8235E3"/>
    <w:rsid w:val="0A9320EA"/>
    <w:rsid w:val="0CD31C9E"/>
    <w:rsid w:val="0D1644B7"/>
    <w:rsid w:val="0DB13287"/>
    <w:rsid w:val="0F803E6A"/>
    <w:rsid w:val="0FAF4C63"/>
    <w:rsid w:val="0FC95811"/>
    <w:rsid w:val="115A0E16"/>
    <w:rsid w:val="13AC5677"/>
    <w:rsid w:val="1486544A"/>
    <w:rsid w:val="14CC31E4"/>
    <w:rsid w:val="165A3666"/>
    <w:rsid w:val="176A79A2"/>
    <w:rsid w:val="1774180A"/>
    <w:rsid w:val="17CB569F"/>
    <w:rsid w:val="17F2174F"/>
    <w:rsid w:val="181635BD"/>
    <w:rsid w:val="1A0538E9"/>
    <w:rsid w:val="1A7613E2"/>
    <w:rsid w:val="1B001094"/>
    <w:rsid w:val="1DA577F2"/>
    <w:rsid w:val="1E8A6AB3"/>
    <w:rsid w:val="1E8F1119"/>
    <w:rsid w:val="20125FC6"/>
    <w:rsid w:val="22D03CF0"/>
    <w:rsid w:val="25BC1C48"/>
    <w:rsid w:val="27136E91"/>
    <w:rsid w:val="27BD3A55"/>
    <w:rsid w:val="2AF552B7"/>
    <w:rsid w:val="2BC646AE"/>
    <w:rsid w:val="2C1339D0"/>
    <w:rsid w:val="2CF9108B"/>
    <w:rsid w:val="2E382087"/>
    <w:rsid w:val="2E857D96"/>
    <w:rsid w:val="2F700607"/>
    <w:rsid w:val="2FBC72D3"/>
    <w:rsid w:val="3071788D"/>
    <w:rsid w:val="308555FC"/>
    <w:rsid w:val="31B163D9"/>
    <w:rsid w:val="32B2044E"/>
    <w:rsid w:val="343B1F4D"/>
    <w:rsid w:val="38342AA2"/>
    <w:rsid w:val="388C54AA"/>
    <w:rsid w:val="389F672E"/>
    <w:rsid w:val="39B12CEE"/>
    <w:rsid w:val="39F5707E"/>
    <w:rsid w:val="3AB477FE"/>
    <w:rsid w:val="3C3F2833"/>
    <w:rsid w:val="3C720E5A"/>
    <w:rsid w:val="3C8E7D22"/>
    <w:rsid w:val="3D617CAA"/>
    <w:rsid w:val="3E1A17B9"/>
    <w:rsid w:val="3F8C469F"/>
    <w:rsid w:val="401A2C55"/>
    <w:rsid w:val="4096167E"/>
    <w:rsid w:val="41373726"/>
    <w:rsid w:val="41A56A9E"/>
    <w:rsid w:val="42042EE5"/>
    <w:rsid w:val="42444EA2"/>
    <w:rsid w:val="42D57A4D"/>
    <w:rsid w:val="43305BFF"/>
    <w:rsid w:val="44801452"/>
    <w:rsid w:val="4541547F"/>
    <w:rsid w:val="45A45CA6"/>
    <w:rsid w:val="465F2CB4"/>
    <w:rsid w:val="469F596F"/>
    <w:rsid w:val="47610763"/>
    <w:rsid w:val="47F0075F"/>
    <w:rsid w:val="4866322B"/>
    <w:rsid w:val="49164DDF"/>
    <w:rsid w:val="4B561418"/>
    <w:rsid w:val="4B5807DC"/>
    <w:rsid w:val="4B786B87"/>
    <w:rsid w:val="4CFE5085"/>
    <w:rsid w:val="4EF76DA5"/>
    <w:rsid w:val="4F0516BA"/>
    <w:rsid w:val="4F934D61"/>
    <w:rsid w:val="4FCE55A2"/>
    <w:rsid w:val="503433F4"/>
    <w:rsid w:val="50650093"/>
    <w:rsid w:val="56552F27"/>
    <w:rsid w:val="5AE66844"/>
    <w:rsid w:val="5D022E6A"/>
    <w:rsid w:val="5DD66AB8"/>
    <w:rsid w:val="5F107B83"/>
    <w:rsid w:val="5FC30909"/>
    <w:rsid w:val="624E53D8"/>
    <w:rsid w:val="62B80AC5"/>
    <w:rsid w:val="6328018E"/>
    <w:rsid w:val="66494E40"/>
    <w:rsid w:val="66BA41AF"/>
    <w:rsid w:val="66F95B50"/>
    <w:rsid w:val="68FB70B8"/>
    <w:rsid w:val="690C5A10"/>
    <w:rsid w:val="6AB44268"/>
    <w:rsid w:val="6AD1545A"/>
    <w:rsid w:val="715C1F07"/>
    <w:rsid w:val="727B5586"/>
    <w:rsid w:val="730438B3"/>
    <w:rsid w:val="731E0DFD"/>
    <w:rsid w:val="735A0201"/>
    <w:rsid w:val="7496678D"/>
    <w:rsid w:val="75BC66C7"/>
    <w:rsid w:val="76ED1CA3"/>
    <w:rsid w:val="7A3031E0"/>
    <w:rsid w:val="7A922E92"/>
    <w:rsid w:val="7CF62B7F"/>
    <w:rsid w:val="7E064983"/>
    <w:rsid w:val="7F35533A"/>
    <w:rsid w:val="7F634753"/>
    <w:rsid w:val="7F9164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微软雅黑" w:hAnsi="微软雅黑" w:eastAsia="微软雅黑" w:cs="微软雅黑"/>
      <w:sz w:val="24"/>
      <w:szCs w:val="24"/>
    </w:rPr>
  </w:style>
  <w:style w:type="paragraph" w:styleId="4">
    <w:name w:val="footer"/>
    <w:basedOn w:val="1"/>
    <w:qFormat/>
    <w:uiPriority w:val="99"/>
    <w:pPr>
      <w:tabs>
        <w:tab w:val="center" w:pos="4153"/>
        <w:tab w:val="right" w:pos="8306"/>
      </w:tabs>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customStyle="1" w:styleId="9">
    <w:name w:val="Table Normal"/>
    <w:qFormat/>
    <w:uiPriority w:val="2"/>
    <w:rPr>
      <w:rFonts w:hint="default" w:ascii="Times New Roman" w:hAnsi="Times New Roman" w:eastAsia="宋体" w:cs="Times New Roman"/>
    </w:rPr>
    <w:tblPr>
      <w:tblCellMar>
        <w:top w:w="0" w:type="dxa"/>
        <w:left w:w="0" w:type="dxa"/>
        <w:bottom w:w="0" w:type="dxa"/>
        <w:right w:w="0" w:type="dxa"/>
      </w:tblCellMar>
    </w:tblPr>
  </w:style>
  <w:style w:type="paragraph" w:customStyle="1" w:styleId="10">
    <w:name w:val="Table Paragraph"/>
    <w:basedOn w:val="1"/>
    <w:qFormat/>
    <w:uiPriority w:val="1"/>
  </w:style>
  <w:style w:type="paragraph" w:styleId="1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CEEACA"/>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852</Words>
  <Characters>945</Characters>
  <Lines>0</Lines>
  <Paragraphs>0</Paragraphs>
  <TotalTime>94</TotalTime>
  <ScaleCrop>false</ScaleCrop>
  <LinksUpToDate>false</LinksUpToDate>
  <CharactersWithSpaces>947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2026-03-24T03:30:00Z</dcterms:created>
  <dc:creator>海客谈</dc:creator>
  <cp:lastModifiedBy>海客谈</cp:lastModifiedBy>
  <dcterms:modified xsi:type="dcterms:W3CDTF">2026-05-13T05:56:10Z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22AF761CF16F41A99C0E58270BFE63DB_13</vt:lpwstr>
  </property>
  <property fmtid="{D5CDD505-2E9C-101B-9397-08002B2CF9AE}" pid="4" name="KSOTemplateDocerSaveRecord">
    <vt:lpwstr>eyJoZGlkIjoiNjJkMTFkNDc3MGMwMzhlYTEyZGYzNDUzNzk1NGNlMTUiLCJ1c2VySWQiOiIzNDQwMTQ0NjAifQ==</vt:lpwstr>
  </property>
</Properties>
</file>